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pStyle w:val="ConsPlusTitle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«Голубая бухта» и утверждении </w:t>
      </w:r>
      <w:r w:rsidR="000156B0">
        <w:rPr>
          <w:rFonts w:ascii="Times New Roman" w:hAnsi="Times New Roman" w:cs="Times New Roman"/>
          <w:sz w:val="28"/>
          <w:szCs w:val="28"/>
        </w:rPr>
        <w:t>П</w:t>
      </w:r>
      <w:r w:rsidRPr="00E448BD">
        <w:rPr>
          <w:rFonts w:ascii="Times New Roman" w:hAnsi="Times New Roman" w:cs="Times New Roman"/>
          <w:sz w:val="28"/>
          <w:szCs w:val="28"/>
        </w:rPr>
        <w:t>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«Голубая бухта»</w:t>
      </w: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Pr="00DC1092" w:rsidRDefault="00DC1092" w:rsidP="00DC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зеленых зон муниципального образования город-курорт Геленджик,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«Голубая бухта», руководствуясь главой </w:t>
      </w:r>
      <w:r w:rsidRPr="00DC1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статьей 2 Федерального закона от 14 марта 1995 года </w:t>
      </w:r>
      <w:hyperlink r:id="rId8" w:history="1">
        <w:r w:rsidRPr="00DC1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№33-ФЗ</w:t>
        </w:r>
      </w:hyperlink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особо охраняемых природных территориях»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2021 года №170-ФЗ), статьями 16</w:t>
      </w:r>
      <w:proofErr w:type="gramEnd"/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Федерального закона от                           6 октября 2003 года </w:t>
      </w:r>
      <w:hyperlink r:id="rId9" w:history="1">
        <w:r w:rsidRPr="00DC1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2021 года №289-ФЗ), статьей 5 Закона Краснодарского края от                               31 декабря 2003 года №656-КЗ «Об особо охраняемых природных территориях Краснодарского края» (</w:t>
      </w:r>
      <w:r w:rsidRPr="00DC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Закона Краснодарского края от 9 апреля 2021 года №4440-КЗ), постановлением администрации муниципального образования город-курорт Геленджик </w:t>
      </w:r>
      <w:r w:rsidR="000A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октября 2021 года № 2071</w:t>
      </w:r>
      <w:r w:rsidR="00544EC0" w:rsidRPr="0043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земель муниципального образования город-курорт Геленджик к землям особо охраняемых природных</w:t>
      </w:r>
      <w:proofErr w:type="gramEnd"/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 город-курорт Геленджик, создания и функционирования</w:t>
      </w:r>
      <w:r w:rsidRPr="00DC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 местного значения муниципального образования город-курорт Геленджик»,</w:t>
      </w:r>
      <w:r w:rsidRPr="00DC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8, 27, 65</w:t>
      </w:r>
      <w:r w:rsidRPr="00DC1092">
        <w:rPr>
          <w:rFonts w:ascii="Times New Roman" w:eastAsia="Times New Roman" w:hAnsi="Times New Roman" w:cs="Times New Roman"/>
          <w:sz w:val="24"/>
          <w:szCs w:val="34"/>
          <w:lang w:eastAsia="ru-RU"/>
        </w:rPr>
        <w:t xml:space="preserve"> 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город-курорт Геленджик,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особо охраняемую природную территорию местного значения муниципального образования город-курорт Геленджик природную 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реационную зону «Голубая бухта»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земельных участков с кадастровыми номерами 23:40:0000000:5922, 23:40:0000000:5929.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71" w:history="1">
        <w:r w:rsidR="00DC1092" w:rsidRPr="00DC1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особо охраняемой природной территории местного значения муниципального образования город-курорт Геленджик природной рекреационной зоне «Голубая бухта» (прил</w:t>
      </w:r>
      <w:r w:rsidR="00586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4EC0" w:rsidRPr="00BB18D1" w:rsidRDefault="000A3744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44EC0" w:rsidRDefault="000A3744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4EC0" w:rsidRPr="00BB1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4EC0" w:rsidRPr="00BB18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</w:t>
      </w:r>
      <w:r w:rsidR="00544EC0">
        <w:rPr>
          <w:rFonts w:ascii="Times New Roman" w:hAnsi="Times New Roman" w:cs="Times New Roman"/>
          <w:sz w:val="28"/>
          <w:szCs w:val="28"/>
        </w:rPr>
        <w:t xml:space="preserve">нной </w:t>
      </w:r>
      <w:r w:rsidR="00544EC0"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544EC0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BB18D1">
        <w:rPr>
          <w:rFonts w:ascii="Times New Roman" w:hAnsi="Times New Roman" w:cs="Times New Roman"/>
          <w:sz w:val="28"/>
          <w:szCs w:val="28"/>
        </w:rPr>
        <w:t>(</w:t>
      </w:r>
      <w:r w:rsidR="004B782F">
        <w:rPr>
          <w:rFonts w:ascii="Times New Roman" w:hAnsi="Times New Roman" w:cs="Times New Roman"/>
          <w:sz w:val="28"/>
          <w:szCs w:val="28"/>
        </w:rPr>
        <w:t>www.gelendzhik.org</w:t>
      </w:r>
      <w:r w:rsidR="00544EC0" w:rsidRPr="00BB18D1">
        <w:rPr>
          <w:rFonts w:ascii="Times New Roman" w:hAnsi="Times New Roman" w:cs="Times New Roman"/>
          <w:sz w:val="28"/>
          <w:szCs w:val="28"/>
        </w:rPr>
        <w:t>).</w:t>
      </w:r>
    </w:p>
    <w:p w:rsidR="004B782F" w:rsidRPr="004B782F" w:rsidRDefault="000A3744" w:rsidP="004B78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82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B782F" w:rsidRPr="004B78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782F" w:rsidRPr="004B78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Кациди Ю.Г. </w:t>
      </w:r>
    </w:p>
    <w:p w:rsidR="00544EC0" w:rsidRDefault="000A3744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544EC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DC1092" w:rsidRPr="00DC1092" w:rsidRDefault="00DC1092" w:rsidP="005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F239C1" w:rsidRDefault="00F239C1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4B782F" w:rsidRPr="004B782F" w:rsidRDefault="004B782F" w:rsidP="004B782F">
      <w:pPr>
        <w:tabs>
          <w:tab w:val="left" w:pos="7666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782F" w:rsidRPr="004B782F" w:rsidRDefault="004B782F" w:rsidP="000A3744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4B782F" w:rsidRPr="004B782F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«Голубая бухта» и утверждении </w:t>
      </w:r>
      <w:r w:rsidR="00015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«Голубая бухта»</w:t>
      </w:r>
    </w:p>
    <w:p w:rsidR="004B782F" w:rsidRPr="004B782F" w:rsidRDefault="004B782F" w:rsidP="004B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90" w:rsidRPr="00436417" w:rsidRDefault="00455190" w:rsidP="0045519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Полуничев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B782F" w:rsidRPr="004B782F" w:rsidRDefault="004B782F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B782F" w:rsidRPr="004B782F" w:rsidRDefault="004B782F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А.А. Зубова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Ю.Г. Кациди</w:t>
      </w:r>
    </w:p>
    <w:p w:rsidR="004B782F" w:rsidRP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Рыбалкина</w:t>
      </w: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586110" w:rsidSect="00544EC0">
          <w:headerReference w:type="default" r:id="rId10"/>
          <w:type w:val="continuous"/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F239C1" w:rsidRDefault="00F239C1" w:rsidP="00F2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F239C1" w:rsidRDefault="000A3744" w:rsidP="00F239C1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 охраняемой природной территории местного значения муниципального образования город-курорт Геленджик природной рекреационной зоне «Голубая бухта»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left="567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F239C1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A3744" w:rsidRPr="00F239C1" w:rsidRDefault="000A3744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«Голубая бухта» (далее - Положение) разработано в соответствии с главой </w:t>
      </w:r>
      <w:r w:rsidRPr="00F23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статьей 2 Федерального закона от 14 марта 1995 года </w:t>
      </w:r>
      <w:hyperlink r:id="rId11" w:history="1">
        <w:r w:rsidRPr="00F23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№33-ФЗ</w:t>
        </w:r>
      </w:hyperlink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особо охраняемых природных территориях», статьями 16, 37 Федерального закона от                           6 октября 2003 года </w:t>
      </w:r>
      <w:hyperlink r:id="rId12" w:history="1">
        <w:r w:rsidRPr="00F23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статьей 5 Закона Краснодарского края от 31 декабря 2003 года №656-КЗ «Об особо охраняемых природных территориях Краснодарского края»</w:t>
      </w:r>
      <w:r w:rsidR="000A374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, </w:t>
      </w:r>
      <w:r w:rsidRPr="00F239C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19 октября 2021 года</w:t>
      </w:r>
      <w:r w:rsidRPr="00F239C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2071</w:t>
      </w:r>
      <w:r w:rsidRPr="00F239C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«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</w:t>
      </w:r>
      <w:r w:rsidRPr="00F2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территорий местного значения муниципального образования город-курорт Геленджик»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город-курорт Геленджик природной рекреационной зоны «Голубая бухта» (далее - ООПТ «Голубая бухта»), природны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границах ООПТ «Голубая бухта».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администрации муниципального образования город-курорт Геленджик в области организации мероприятий по созданию и охране особо охраняемых природных территорий местного значения муниципального образования город-курорт Геленджик является отдел промышленности, транспорта, связи и экологии администрации муниципального образования город-курорт Геленджик (далее - уполномоченный орган).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на основе материалов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комплексного экологического обследования потенциальной особо охраняемой природной территории местного значения муниципального образования город-курорт Геленджик природной рекреационной зоны «Голубая бухта».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«Голубая бухта» имеет рекреационный профиль и создана в целях сохранения сложившегося природного ландшафта, ценных экосистем, объектов животного и растительного мира территории.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«Голубая бухта» относится к категории природных рекреационных зон местного значения.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F239C1" w:rsidRDefault="00F239C1" w:rsidP="00D10DD1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создания </w:t>
      </w:r>
      <w:r w:rsidR="004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ООПТ «Голубая бухта»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создания ООПТ «Голубая бухта» являются: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сокращения площади земельных участков, занятых зелеными насаждениями;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генофонда видов растений и животных, занесённых в Красную книгу Российской Федерации и Красную книгу Краснодарского края;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среды обитания диких животных (птиц);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благоприятной окружающей среды для граждан;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эколого-просветительской деятельности;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организованной рекреации на ее территории.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Фаунистический состав ООПТ «Голубая бухта»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типы местообитаний ООПТ «Голубая бухта» формируют благоприятные условия для жизни высокого фаунистического разнообразия, в особенности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орнитофауны. Ландшафты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субсредиземноморского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концентрируют генофонд редких, эндемичных и исчезающих таксонов животных, многие из которых имеют статус охраны регионального и (или) федерального уровня. </w:t>
      </w:r>
    </w:p>
    <w:p w:rsidR="00F239C1" w:rsidRPr="002243B5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представленность насекомых связана с богатой кормовой базой и разнообразием местообитаний, высок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 территории лесом (94,5%) и наличие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участков со степными и лугово-степными сообществами (5,5% от общей площади территории ООПТ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54" w:rsidRP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значительной площад</w:t>
      </w:r>
      <w:r w:rsidR="000A3744">
        <w:rPr>
          <w:rFonts w:ascii="Times New Roman" w:eastAsia="Times New Roman" w:hAnsi="Times New Roman" w:cs="Times New Roman"/>
          <w:sz w:val="28"/>
          <w:szCs w:val="28"/>
          <w:lang w:eastAsia="ru-RU"/>
        </w:rPr>
        <w:t>ью,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покрытой древесной 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растительностью. Дневные чешуекрылые представлены семействами Парусники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Papilionidae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Нимфалиды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Nymphalidae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Бархатницы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Satyridae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Белянки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Pieridae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Голубянки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Lycaenidae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Толстоголовки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Hesperiidae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Медведицы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Erebidae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Пестрянки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Zygaenidae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Ночные чешуекрылые представлены семействами Бражники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Sphingidae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Древоточцы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Cossidae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Совки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Noctuidae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Наиболее примечательными видами </w:t>
      </w:r>
      <w:proofErr w:type="gram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чешуекрылых</w:t>
      </w:r>
      <w:proofErr w:type="gram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подалирий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Iphiclides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podalirius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гол</w:t>
      </w:r>
      <w:r w:rsidR="000A3744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убя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икар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Polyommatus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icarus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лжепестрянка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обыкновенная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Amata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phegea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бархатница мегера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Lasiommata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megera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бархатница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галатея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Melanargia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galathea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</w:t>
      </w:r>
      <w:proofErr w:type="gram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редких</w:t>
      </w:r>
      <w:proofErr w:type="gram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чешуекрылых, имеющих охранный статус, отмеченных на ООПТ «Голубая бухта»</w:t>
      </w:r>
      <w:r w:rsidR="000A3744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голубянка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Шиффермюллера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Pseudophilotes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vicrama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schiffermulleri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толстоголовка мозаичная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Muschampia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tessellum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бархатница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аретуза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Arethusana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arethusa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конце лета и первой половине осени на открытых участках ООПТ «Голубая 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бухта» наблюдается массовый лёт представителей отряда </w:t>
      </w:r>
      <w:r w:rsidR="000A3744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трекозы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Odon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ta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Один из видов стрекоз имеет региональный охранный статус –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сжатобрюх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голенастый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Sympetrum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tibiale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 отряда богомолы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Mantodea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богомол обыкновенный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Mantis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religiosa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закавказский древесный богомол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Hierodula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transcaucasica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эмпуза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</w:t>
      </w:r>
      <w:proofErr w:type="gram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Empusa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fasciata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занесённая в Кра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сную книгу Краснодарского края,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рямокрылые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Orthoptera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из семейства настоящие саранчовые (</w:t>
      </w:r>
      <w:proofErr w:type="spellStart"/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Acrididae</w:t>
      </w:r>
      <w:proofErr w:type="spellEnd"/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мечаются в травяных сообществах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отряда </w:t>
      </w:r>
      <w:proofErr w:type="gram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жесткокрылы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Coleoptera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отмечены имеющие статус охраны виды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жук-олень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Lucanus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cervus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усач большой дубовый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Cerambyx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cerdo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златка фисташковая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Capnodis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cariosa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перепончатокрылых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Hymenoptera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занесённые в Крас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книгу Краснодарского края: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сколия-гигант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Scolia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maculata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пчела-плотник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Xylocopa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valga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9C1" w:rsidRPr="002243B5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ценность ООПТ «Голубая бухта» придаёт наличие популяций редких и охраняемых на региональном и федеральном уровнях таксонов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средиземноморской черепахи Никольского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Testudo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graeca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nikolskii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желтопузика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Pseudopus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apodus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Полов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озрелые особи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как на открытых участках, так и в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экотонной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полосе ООПТ «Голубая бухта». Также на территории ООПТ отмечена понтийская ящерица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Darevskia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praticola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pontica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квакша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Шелковникова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Hyla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arborea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schelkovnikovi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9C1" w:rsidRPr="002243B5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открытых участков с кустарниками и редко стоящими крупными деревьями, а также большая площадь, покрыт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лесом, обилие кормовой </w:t>
      </w:r>
      <w:proofErr w:type="gram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proofErr w:type="gram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растительноядных, так и насекомоядных, благоприятству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высокому разнообразию птиц-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дендрофилов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преимущественно из отряда </w:t>
      </w:r>
      <w:proofErr w:type="spellStart"/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оробьинообразные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(пеночка-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желтоголовый королёк, большая синиц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лазоревка, сойка,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ополовник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зарянка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зяблик, серая мухоловка, соловей, чёрный дрозд, дрозд-рябинник и др.), из </w:t>
      </w:r>
      <w:proofErr w:type="spellStart"/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овообразных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сплюшка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ятлообразных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большой пёстрый дятел. На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ООПТ «Голубая бухта»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могут отмечаться все птицы-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дендрофилы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9C1" w:rsidRPr="002243B5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диких видов млекопитающих на территории ООПТ «Голубая бухта» обита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 южный ёж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Erinaceus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roumanicus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лесная мышь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Apodemus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uralensis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соня-полчок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Glis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glis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Плотные лесные сообщества потенциально могут быть подходящими для обитания представителей семейства </w:t>
      </w:r>
      <w:r w:rsidR="00613B8D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уньих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Mustelidae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видов летучих мышей.</w:t>
      </w:r>
    </w:p>
    <w:p w:rsidR="00F239C1" w:rsidRPr="002243B5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Флористический состав и растительность ООПТ «Голубая бухта»</w:t>
      </w:r>
      <w:r w:rsidRPr="00224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239C1" w:rsidRPr="002243B5" w:rsidRDefault="00613B8D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«Голубая бухта» богато представлено видовое р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азнообразие сосудистых растений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175 видов, которые относятся к 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46 семействам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Представленность чужеро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дными видами чрезвычайно низкая -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10 видов, не играющих роли в строении сообществ. 24 вида относятся к древесным растениям, среди которых доминирующим видом является сосна пицундская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Pinus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pityusa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занесённая в Красную книгу Российской Федерации и Красную книгу Краснодарского края. Сосновые насаждения имеют искусственное происхождение. В советский период сосна пицундская массово высаживалась на террасированных склонах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геленджикским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лесничеством. Одним из таких мест является южный склон возвышенности, на котором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расположена ООПТ «Голубая бухта». Несмотря на искусственное происхождение насаждений сосны пицундской, территория ООПТ «Голубая бухта» входит в границы природного ареала этого таксона. Условия настолько благоприятны для существования сообществ с доминированием сосны, что в нарушенных пожарами сообществах сосна возобновляется. Данный факт доказывает природоохранную значимость лесного массива и обосновывает его сохранение как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полуестественной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локальной популяции сосны пицундской. </w:t>
      </w:r>
      <w:proofErr w:type="gram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Сосна пицундская формирует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монодоминантные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сообщества: сосняк осоковый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caricosum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cuspidatae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сосняк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иглициевый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ruscosum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aculeati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сосняк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чиевый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achnatherosum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bromoides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сосняк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грабинниково-иглициевый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carpinoso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orientalis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ruscosum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aculeati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); уникальный комплекс а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ссоциаций: сосняк кустарниковый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держи-деревом, подростом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магалебки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иногда фисташки, боярышника мелколистного, скумпии –</w:t>
      </w:r>
      <w:r w:rsidR="00F239C1" w:rsidRPr="002243B5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cotinoso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caricosum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cuspidatae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239C1" w:rsidRPr="002243B5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pauliurosum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spina-cristi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pauliuroso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spina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cristi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cerasuoso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mahalebis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pistacetosum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muticae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нарушенном разреженном сосняке формируются ассоциации: сосняк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пушистодубово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-осоковый –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Querceto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pubescentis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caricosum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cuspidatae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сосняк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грабинниково-пушистодубовый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Querceto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pubescentis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Pinetum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carpinosum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orientalis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старых гарях, в плотных посадках сосны, после их гибели формируется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грабинниково-пушистодубовое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 –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Carpineto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orientalis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Querceto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pubescentis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занимающее незначительную площадь на ООПТ «Голубая бухта». В более сухих местообитаниях, в местах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от плотных посадок сосны, формируются редколесья, в которых представлены крупные деревья сосны пицундской, дуба пушистого и изредка, в северо-восточной части ООПТ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«Голубая бухта»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крупных деревьев фисташки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туполистной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невысоких деревьев боярышника вееролистного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Crataegus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rhipidophylla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таких разреженных сообществах в сложении древесно-кустарниковой растительности большую роль играют кустарники </w:t>
      </w:r>
      <w:proofErr w:type="gram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держи-дерево</w:t>
      </w:r>
      <w:proofErr w:type="gram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Pauliurus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spina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cristi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вишня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магалебка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Cerasus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mahaleb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шиповник собачий (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Rosa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canina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карликовые кустарники – шиповник французский (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Rosa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gallica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плотные скопления жасмина кустарникового (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Jasminum</w:t>
      </w:r>
      <w:proofErr w:type="spell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fruticans</w:t>
      </w:r>
      <w:proofErr w:type="spellEnd"/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Помимо кустарников</w:t>
      </w:r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участках обильно представлен подрост сосны, а также подрост фисташки. Обилие </w:t>
      </w:r>
      <w:proofErr w:type="gramStart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держи-дерева</w:t>
      </w:r>
      <w:proofErr w:type="gramEnd"/>
      <w:r w:rsidR="00F239C1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открытых участках, является показателем одной из стадий восстановления древесно-кустарниковой растительности после пожаров.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Травяная растительность представлена степными и лугово-степными сообществами, где до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минирующим видом является злак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бородач обыкновенный (</w:t>
      </w:r>
      <w:proofErr w:type="spellStart"/>
      <w:r w:rsidRPr="00497894">
        <w:rPr>
          <w:rFonts w:ascii="Times New Roman" w:eastAsia="Times New Roman" w:hAnsi="Times New Roman" w:cs="Times New Roman"/>
          <w:sz w:val="28"/>
          <w:szCs w:val="28"/>
          <w:lang w:eastAsia="ru-RU"/>
        </w:rPr>
        <w:t>Bothriochloa</w:t>
      </w:r>
      <w:proofErr w:type="spellEnd"/>
      <w:r w:rsidRPr="0049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894">
        <w:rPr>
          <w:rFonts w:ascii="Times New Roman" w:eastAsia="Times New Roman" w:hAnsi="Times New Roman" w:cs="Times New Roman"/>
          <w:sz w:val="28"/>
          <w:szCs w:val="28"/>
          <w:lang w:eastAsia="ru-RU"/>
        </w:rPr>
        <w:t>ischaemum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содоминантами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 злаки коротконожка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Brachypodium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rupestre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змеёвка поздняя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Cleistogenes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serotina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пырей удлиненный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Elytrigia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elongatiformis</w:t>
      </w:r>
      <w:proofErr w:type="spellEnd"/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 волосатик </w:t>
      </w:r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Stipa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capillata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житняк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Agropyron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cristatum</w:t>
      </w:r>
      <w:proofErr w:type="spellEnd"/>
      <w:r w:rsidR="002243B5" w:rsidRP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</w:t>
      </w:r>
      <w:r w:rsidRP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бородач</w:t>
      </w:r>
      <w:r w:rsidR="002243B5" w:rsidRP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 формирует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монодоминантные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сообщества. В состав травяных сообще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вх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виды растений, занесённых в Красную книгу Российской Федерации и Краснодарского края: ковыль красивейший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Stipa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pulcherrima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чистец критский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Stachys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cretica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наголоватка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нежная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Jurinea</w:t>
      </w:r>
      <w:proofErr w:type="spellEnd"/>
      <w:r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blanda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колокольчик Комарова (</w:t>
      </w:r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Campanula</w:t>
      </w:r>
      <w:r w:rsidRPr="002243B5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komarovii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9C1" w:rsidRPr="00F239C1" w:rsidRDefault="00F239C1" w:rsidP="00D10DD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за период обследования ООПТ «Голубая бухта» выявлено 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видов растений, имеющих статус охраны. На ООПТ </w:t>
      </w:r>
      <w:r w:rsidR="002243B5" w:rsidRP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подходящие местообитания и условия для произрастания редких видов из семейства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рхидеи (</w:t>
      </w:r>
      <w:proofErr w:type="spellStart"/>
      <w:r w:rsidRPr="00224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Orchidaceae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39C1" w:rsidRPr="00F239C1" w:rsidRDefault="00F239C1" w:rsidP="00D10DD1">
      <w:pPr>
        <w:widowControl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Границы и площадь ООПТ «Голубая бухта»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ООПТ «Голубая бухта» расположена в границах земельных участков с кадастровыми номерами 23:40:0000000:5922, 23:40:0000000:5929, расположенных в границах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«Голубая бухта». Площадь ООПТ «Голубая бухта» составляет 158570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«Голубая бухта» с юга ограничена улицей Взлётн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запада граничит с жилой 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застройкой ул. Генерала Рашпиля,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востока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Солнцедарск</w:t>
      </w:r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224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севера 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участками, покрытыми древесно-кустарниковой растительностью, в том числе посадками сосны пицундской.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границах ООПТ «Голубая бухта» представлены в приложениях к настоящему Положению.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особой охраны ООПТ «Голубая бухта»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функциональные зоны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Функциональные зоны (зоны с дифференцированным режимом хозяйственной и иной деятельности) в границах ООПТ ««Голубая бухта» не установлены.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всей территории ООПТ «Голубая бухта» запрещается следующая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территории:</w:t>
      </w:r>
    </w:p>
    <w:p w:rsidR="00F239C1" w:rsidRPr="00F239C1" w:rsidRDefault="00A24C54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земельных участков для индивидуального жилищного строительства.</w:t>
      </w:r>
    </w:p>
    <w:p w:rsidR="00F239C1" w:rsidRPr="00F239C1" w:rsidRDefault="00A24C54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под новое строительство и реконструкцию, кроме объектов, непосредственно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(поливочная система, малые архитектурные формы, информационные стенды, осветительные приборы), с учётом отсутствия неблагоприятного воздействия на объекты животного и растительного мира.</w:t>
      </w:r>
    </w:p>
    <w:p w:rsidR="00F239C1" w:rsidRPr="00F239C1" w:rsidRDefault="00A24C54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размещения отхо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производства и потребления, 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радиоактивных, химических, взрывчатых, токсичных, отравляющих и ядовитых веществ, а также расширение существующих мест временного хранения отходов.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Мойка автомобилей и иного моторного транспорта.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Все виды работ, связанных с нарушением почвенно-растительного покрова, за исключением работ по установке объектов, необходимых для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ООПТ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54" w:rsidRP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связанных с улучшением почвенных характеристик (увеличением плодородного слоя), а также работ в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согласованных с уполномоченным органом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и стоянка всех видов моторных транспортных средств на 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ООПТ 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специально отведенных мест, за исключением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моторных транспортных средств,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функционированием территории, транспортных средств уполномоченного органа, научных организаций и научных работников, организаций, выполняющих ремонт или замену комплектующих линейных объектов, расположенных на территории ООПТ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47" w:rsidRP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действующих по согласованию с 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</w:t>
      </w:r>
      <w:proofErr w:type="gramEnd"/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6"/>
      <w:bookmarkEnd w:id="1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Захламление территории ООПТ </w:t>
      </w:r>
      <w:r w:rsidR="00D66747" w:rsidRP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отходами.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Загрязнение почвенно-растительного покрова нефтепродуктами и другими загрязняющими веществами.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Любые вырубки древесных насаждений,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обрезки зеленых насаждений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письменного согласования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1"/>
      <w:bookmarkEnd w:id="2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Вырубка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фаутных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за исключением деревьев, потерявших механическую прочность, аварийных деревьев, при условии согласования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Повреждение древесно-кустарниковой растительности ООПТ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47" w:rsidRP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посетителями.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Разведение открытого огня, в том числе в мангалах, костров, сжигание растительности, осуществление весенних палов.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Самовольная посадка деревьев и кустарников, а также другие самовольные действия граждан, направленные на обустройство ООПТ «Голубая бухта».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</w:t>
      </w:r>
      <w:r w:rsidRPr="00F239C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посетителей вне существующей дорожно-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7"/>
      <w:bookmarkEnd w:id="3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 Сбор и заготовк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ресурсов, пищевых лесных ресурсов и лекарственных растений в коммерческих целях.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4.2.16. Сбор и заготовк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пищевых лесных ресурсов и лекарственных растений для собственных нужд способами, приводящими к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гибели растений.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Добыч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изъятие из природной среды объектов растительного мира, занесенных в Красную книгу Российской Федерации и (или) Красную книгу Краснодарского края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747" w:rsidRP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47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частей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разрешений, предусмотренных законодательством Российской Федерации и Краснодарского края.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4.2.18. Разрушение (уничтожение) обитаемых либо регулярно используемых гнезд, нор, логовищ, убежищ, жилищ и других сооружений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животных, используемых для размножения.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4.2.19.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Осуществление всех видов хозяйственной или иной деятельности, способной оказать негативное воздействие на объекты животного мира и среду их обитания, без согласования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4.2.21. Осуществление любых мероприятий по охране объектов животного мира и среды их обитания (в том числе компенсационных мероприятий) в границах ООПТ «Голубая бухта» без согласования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0"/>
      <w:bookmarkEnd w:id="4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4.2.22. Размещение аттракционов, спортивных и детских площадок, объектов сезонной розничной (нестационарной) торговли (палатки, лотки) вне специально отведенных мест.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4.2.23. Размещение и устройство палаточных лагерей вне специально оборудованных мест, согласованных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4.2.24. </w:t>
      </w:r>
      <w:bookmarkStart w:id="5" w:name="P132"/>
      <w:bookmarkStart w:id="6" w:name="P133"/>
      <w:bookmarkEnd w:id="5"/>
      <w:bookmarkEnd w:id="6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рекламных и информационных щитов на фундаментной основе вне специально отведенных мест, согласованных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4.2.25.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4.2.26. 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6747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газонах и участках, не имеющих искусственного покрытия,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 и розничной торговли, организация и проведение массовых спортивных, зрелищных и иных мероприятий.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4.2.27. Организация новых площадок и дорожек с твердым искусственным покрытием без согласования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35"/>
      <w:bookmarkEnd w:id="7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4.2.28. Выгул собак без поводка и намордника, а также выгул собак без выполнения санитарно-гигиенических мероприятий - уборки экскрементов собак (не распространяется на собак-поводырей и служебных собак, находящихся при исполнении служебных заданий).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7"/>
      <w:bookmarkEnd w:id="8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4.2.29. Деятельность, влекущая искажение сложившегося ландшафта.</w:t>
      </w:r>
    </w:p>
    <w:p w:rsidR="00F239C1" w:rsidRPr="00F239C1" w:rsidRDefault="00F239C1" w:rsidP="00DD6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4.2.30.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земляных работ, кроме проводимых с целью обеспечения эксплуатации и ремонта существующих линейных сооружений и коммуникаций, а также обустройства клумб и цветников, оборудования дорожек, благоустройства парка, без согласования с уполномоченным органом.</w:t>
      </w:r>
      <w:proofErr w:type="gramEnd"/>
    </w:p>
    <w:p w:rsidR="00DD66D5" w:rsidRDefault="00F239C1" w:rsidP="00DD66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4.2.31. Изыскательские и буровые работы (за исключением работ, связанных с обеспечением функционирования ООПТ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47" w:rsidRP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DD66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D5" w:rsidRDefault="00DD66D5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D5" w:rsidRPr="00F239C1" w:rsidRDefault="00DD66D5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F239C1" w:rsidP="00DD66D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«Голубая бухта»</w:t>
      </w:r>
    </w:p>
    <w:p w:rsidR="00DD66D5" w:rsidRPr="00F239C1" w:rsidRDefault="00DD66D5" w:rsidP="00DD66D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«Голубая бухта» осуществляется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«Голубая бухта» осуществляется </w:t>
      </w:r>
      <w:r w:rsidR="00DD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bookmarkStart w:id="9" w:name="_GoBack"/>
      <w:bookmarkEnd w:id="9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мониторинга состояния окружающей природной среды и особо ценных объектов на ООПТ «Голубая бухта», наблюдения за абиотическими и биотическими компонен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окружающей природной среды и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антропогенного воздействия на территорию.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Экологический мониторинг состояния окружающей природной среды и особо ценных объектов на ООПТ «Голубая бухта» должен включать: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почвенного покрова;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растительного покрова и состояния видового разнообразия флоры;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объектов животного мира;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лесопатологический мониторинг;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Мониторинговые исследования должны проводит</w:t>
      </w:r>
      <w:r w:rsidR="002141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реже одного раза в три года.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Мониторинг почвенного покрова включает регулярные наблюдения за состоянием поверхностного почвенного горизонта. Отбор проб почв осуществляется в соответствии с нормативными документами:</w:t>
      </w:r>
    </w:p>
    <w:p w:rsidR="00F239C1" w:rsidRPr="00F239C1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58595-2019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«Почвы. Отбор проб»;</w:t>
      </w:r>
    </w:p>
    <w:p w:rsidR="00F239C1" w:rsidRPr="00F239C1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17.4.3.01-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природы. 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Почвы. Общие требования к отбору проб»;</w:t>
      </w:r>
    </w:p>
    <w:p w:rsidR="00F239C1" w:rsidRPr="00F239C1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17.4.4.02-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239C1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пробы почв анализируются на определение следующих параметров: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физико-механические: гранулометрический состав, плотность грунта, потери при прокаливании;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морфологические: увеличение объемов наноса почвы;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химические: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тяжёлых металлов: мышьяка, меди, никеля, цинка, свинца, кадмия, хрома, ртути;</w:t>
      </w:r>
      <w:proofErr w:type="gramEnd"/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концентрация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пестицидов;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суммарных нефтяных углеводородов (НУВ);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водородный показатель рН.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почвы должны быть выполнены в испытательных лабораториях, имеющих соответствующие аттестаты аккредитации и области аккредитации.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5.3.3. Мониторинг состояния видового разнообразия флоры и состояния растительного покрова – это специальное длительное слежение за со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стоянием флоры и растительности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степени воздействия абиотических, биотических и антропогенных факторов воздействия, кратко- и долгосрочного прогнозирования состояния объектов растительного мира и их сообществ. В зависимости от площади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 флоры и растительности может охватывать либо всю территорию ООПТ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проводит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постоянных пробных площадках. Пробные площадки должны охватывать все формации растительности, все типичные и уникальные сообщества.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концентрации редких видов, а также красивоцветущих растений должны быть охвачены мониторингом. Это позволит определить фактическое количество экземпляров,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негативное воздействие несанкционированного изъятия или повреждения растений.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контроль над внедрением в природу культурных растений и инвазионных видов. Особое внимание следует уделять границам ООПТ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дорог и пешеходных дорожек, а также мест отдыха посетителей. Результаты мониторинга состояния адвентивных (чужеродные) видов, их влияния на аборигенные (осо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эндемичные и редкие) виды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основанием для реализации мероприятий по уничтожению занесенных чужеродных видов.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необходимо проводить в разные вегетационные периоды: ранней весной, в начале лета, в середине лета или начале осени. Это позволит</w:t>
      </w:r>
      <w:r w:rsidRPr="00F239C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 обследовать популяции редких и исчезающих видов, имеющих охранный статус на региональном и (или) федеральном уровнях.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мониторинга растительного покрова определяются сукцессионные процессы на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прогнозировании изменения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и эталонных сообществ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сообществ, в состав которых входят уязвимые компоненты флоры, имеющие охранный статус, необходимо проводить мероприятия по прекращению неблагоприятного воздействия (вытеснени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агрессивными видами растений, в том числе инвазионными, уязвимых видов и видоизменени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растительных сообществ, приводящ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утрате их природоохранного значения) на эти сообщества.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</w:t>
      </w:r>
      <w:r w:rsidRPr="00F239C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объектов животного мира ООПТ «Голубая бухта» включает в себя: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орнитофауны;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базироваться на мониторинге массовых видов, прежде всего,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листогрызущих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инвентаризации видов и учёт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 всей территории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постоянных пробных площадках. 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мониторинга - прогнозы динамики численности главнейших насекомых-вредителей древесно-кустарниковой растительности. Результаты мониторинга должны быть основополагающими при проведении мероприятий по ликвидации насекомых-вредителей, санитарной обработке насаждений (инсектицидами, биопрепаратами) и (или) применения друг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методов биологической защиты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 уполномоченным органом.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мониторинга </w:t>
      </w:r>
      <w:proofErr w:type="spellStart"/>
      <w:r w:rsidR="0008670F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="0008670F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08670F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земноводные и пресмыкающиеся, которы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оседлый образ жизни и не склонны к значительным перемещениям, являются одними из наиболее удобных объектов для</w:t>
      </w:r>
      <w:r w:rsidRPr="00F239C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состояния популяций и населяемых ими биотопов. Поскольку представители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кормовыми объектами многих животных, мониторин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состояния их популяций важен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кормовой базы птиц и млекопитающих.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наблюдений за популяциями охраняемых федеральным (региональным) законодательством видов животных и популяциями некоторых широко распространённых (фоновых) видов. Основными методами мониторинга являются визуальные наблюдения и учёты численности на постоянных маршрутах и пробных площадках. Учётные маршруты и площадки закладываются во всех основных типах местообитаний представителей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Контролируемые параметры: распространение, численность и плотность популяций.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подходящим временем для мониторинга состояния популяций земноводных и пресмыкающихся являются апрель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и август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ентябрь. Точные сроки мониторинговых наблюдений корректируются в зависимости от погодных условий конкретного года.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мониторинга </w:t>
      </w:r>
      <w:r w:rsidR="0008670F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орнитофауны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видового разнообразия и численности орнитофауны. Изменения видового состава птиц могут свидетельствовать о перестройках в экосистеме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Отслеживать изменения можно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или по отдельным годам, так и по отдельным сезонам года: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весенний: середина февраля (начало отлета большинства зимующих видов) – конец апреля (окончание прилета самых поздних мигрантов);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(гнездовой): май – середина июля (наличие гнездового аспекта фауны);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летне-осенний: середина июля (начало миграции) – середина ноября (прилет большинства зимующих видов);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середина ноября – середина февраля (наличие зимнего аспекта фауны).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простыми методами мониторинга являются фенологи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наблюдения, прежде всего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прилета и отлета птиц.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видами-индикаторами могут стать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врановые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 ворона, сойка, сорока), синицевые (большая синица, обыкновенная лазоревка), полевой воробей, вьюрковые (зяблик, вьюрок) и др., в гнездовое – такие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дендрофильные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как обыкновенный скворец, черноголовая славка,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пеночка-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 соловей, обыкновенная большая синица, зяблик.</w:t>
      </w:r>
      <w:proofErr w:type="gramEnd"/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гнезд крупных видов птиц необходимо проводить осмотр территории поздней осенью и в начале весны, когда нет листвы. Целесообразно вести наблюдени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(прилет птиц на гнездовые участки, строительство и ремонт гнезд, локализация гнезд и ее изменение, численность).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можно привлекать учащихся близлежащих школ, юннатов, учителей биологии, географии, природоведения. Курировать данную работу должны профессиональные орнитологи.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9C1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характера и степени воздействия на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териофауну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отслеживать динамику её качественного и количественного состава. Контролируемые показатели: распространение, численность и плотность популяций. Контролю подлежат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редких видов, так и массовых видов (грызуны, насекомоядные). Необходимо отслеживать возможные изменения распределения животных на ООПТ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 w:rsidRP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профили для мониторинга популяций млекопитающих необходимо закладывать как на участках активной рекреационной деятельности, так и в пределах 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A24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затронутых рекреацией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тенденций изменения качественных и количественных изменений 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с разным уровнем антропогенного воздействия. В качестве фо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объектов следует выбрать 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 наземных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грызунов и насекомоядных (ежей). При этом необходимо отказаться от использования летальных методов отлова животных в ходе учётов, выбрать метод наблюдения в природной среде, либо применять специальное оборудование (</w:t>
      </w:r>
      <w:proofErr w:type="spell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живоловки</w:t>
      </w:r>
      <w:proofErr w:type="spell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канавки и др.).</w:t>
      </w:r>
    </w:p>
    <w:p w:rsidR="00F239C1" w:rsidRPr="00F239C1" w:rsidRDefault="00F239C1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л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есопатологический мониторинг </w:t>
      </w:r>
      <w:r w:rsidR="00667A66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5A7BF6" w:rsidRP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ГЛПМ</w:t>
      </w:r>
      <w:r w:rsidR="00667A66"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 соответствии с Руководством по проектированию, организации и ведению лесопатологического мониторинга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5A7BF6" w:rsidRP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BF6" w:rsidRP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A7BF6" w:rsidRP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A7BF6" w:rsidRP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 w:rsidR="005A7BF6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636E0"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36E0"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E0"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</w:t>
      </w:r>
      <w:r w:rsid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E0"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лесопатологического мониторинга</w:t>
      </w:r>
      <w:r w:rsid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6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proofErr w:type="gramStart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F22B78" w:rsidRP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лесопатологического мониторинга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фонд</w:t>
      </w:r>
      <w:r w:rsidR="00667A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субъекта Российской Федерации</w:t>
      </w:r>
      <w:proofErr w:type="gramEnd"/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6E0" w:rsidRPr="000636E0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наземным методам осуществления ГЛПМ относятся следующие способы проведения ГЛПМ:</w:t>
      </w:r>
    </w:p>
    <w:p w:rsidR="000636E0" w:rsidRPr="000636E0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наземные наблюдения за санитарным и лесопатологическим состоянием лесов;</w:t>
      </w:r>
    </w:p>
    <w:p w:rsidR="000636E0" w:rsidRPr="000636E0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выборочные наблюдения за популяциями вредных организмов;</w:t>
      </w:r>
    </w:p>
    <w:p w:rsidR="000636E0" w:rsidRPr="000636E0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наземные наблюдения за санитарным и лесопатологическим состоянием лесов;</w:t>
      </w:r>
    </w:p>
    <w:p w:rsidR="000636E0" w:rsidRPr="000636E0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очагов вредных организмов;</w:t>
      </w:r>
    </w:p>
    <w:p w:rsidR="000636E0" w:rsidRPr="000636E0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экспедиционные обследования;</w:t>
      </w:r>
    </w:p>
    <w:p w:rsidR="000636E0" w:rsidRPr="000636E0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санитарного и лесопатологического состояния лесов, в том числе </w:t>
      </w: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актам лесопатологических обследований.</w:t>
      </w:r>
    </w:p>
    <w:p w:rsidR="00F239C1" w:rsidRPr="00F239C1" w:rsidRDefault="000636E0" w:rsidP="0006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дистанционным методам осуществления ГЛПМ относятся дистанционные наблюдения за санитарным и лесопатологическим состоянием лесов.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</w:t>
      </w:r>
      <w:r w:rsid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определения их современного состояния (численность, плотность, распространение в пределах ООПТ</w:t>
      </w:r>
      <w:r w:rsid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B78" w:rsidRP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прогнозирования изменения основных популяционных характеристик. Для каждого биологическ</w:t>
      </w:r>
      <w:r w:rsid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имеющего охранный статус, выявленного на ООПТ</w:t>
      </w:r>
      <w:r w:rsidR="0066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66" w:rsidRPr="00667A6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определяется методика проведения популяционных исследований.</w:t>
      </w:r>
    </w:p>
    <w:p w:rsid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Мониторинговые исследования и выдача заключений о состоянии окружающей природной среды и особо ценных объектов на ООПТ</w:t>
      </w:r>
      <w:r w:rsid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B78" w:rsidRPr="00F22B7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«Голубая бухта»</w:t>
      </w: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организациями, имеющими в своём штате специалистов со специальным образованием (биологическим, лесохозяйственным, экологическим), либо учёных, проводящих научные исследования в области биологии и (или) экологии.</w:t>
      </w: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3F1C8E" w:rsidRPr="00F239C1" w:rsidRDefault="003F1C8E" w:rsidP="00D10D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CE" w:rsidRDefault="00175CCE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175CCE" w:rsidSect="006B6F54"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</w:p>
    <w:p w:rsidR="00175CCE" w:rsidRPr="00E448BD" w:rsidRDefault="00175CCE" w:rsidP="00175CCE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 xml:space="preserve">к </w:t>
      </w:r>
      <w:r w:rsidR="00667A66">
        <w:rPr>
          <w:rFonts w:ascii="Times New Roman" w:hAnsi="Times New Roman" w:cs="Times New Roman"/>
          <w:sz w:val="28"/>
          <w:szCs w:val="28"/>
        </w:rPr>
        <w:t>П</w:t>
      </w:r>
      <w:r w:rsidRPr="00E448BD">
        <w:rPr>
          <w:rFonts w:ascii="Times New Roman" w:hAnsi="Times New Roman" w:cs="Times New Roman"/>
          <w:sz w:val="28"/>
          <w:szCs w:val="28"/>
        </w:rPr>
        <w:t>оложению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об особо охраняемой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природной территории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природной рекреационной</w:t>
      </w:r>
    </w:p>
    <w:p w:rsidR="00175CCE" w:rsidRPr="00E448BD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зоне «Голубая бухта»</w:t>
      </w:r>
    </w:p>
    <w:p w:rsidR="00F22B78" w:rsidRDefault="00F22B78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175CCE" w:rsidRDefault="00F22B78" w:rsidP="00F22B78">
      <w:pPr>
        <w:pStyle w:val="ConsPlusNormal"/>
        <w:ind w:left="6237" w:hanging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</w:t>
      </w:r>
    </w:p>
    <w:p w:rsidR="00530AFD" w:rsidRDefault="00530AFD" w:rsidP="00530AFD">
      <w:pPr>
        <w:pStyle w:val="ConsPlusNormal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местного значения </w:t>
      </w:r>
      <w:r w:rsidRPr="00530AF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природной рекреационной зоны «Голубая бухта»</w:t>
      </w:r>
    </w:p>
    <w:p w:rsidR="00530AFD" w:rsidRPr="00E448BD" w:rsidRDefault="00530AFD" w:rsidP="00BF5C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CCE" w:rsidRDefault="008F5E26" w:rsidP="00175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67"/>
      <w:bookmarkEnd w:id="1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6347" cy="4804894"/>
            <wp:effectExtent l="0" t="0" r="0" b="0"/>
            <wp:docPr id="1" name="Рисунок 1" descr="C:\Users\TimofeevM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eevM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312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33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FB" w:rsidRDefault="00AA66FB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AA66FB" w:rsidRDefault="00AA66FB" w:rsidP="00AA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AA66FB" w:rsidRDefault="00AA66FB" w:rsidP="00AA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AA66FB" w:rsidRDefault="00AA66FB" w:rsidP="00AA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66FB" w:rsidRDefault="00AA66FB" w:rsidP="00AA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530AFD" w:rsidRPr="00AA66FB" w:rsidRDefault="00530AFD" w:rsidP="00AA66FB">
      <w:pPr>
        <w:rPr>
          <w:rFonts w:ascii="Times New Roman" w:hAnsi="Times New Roman" w:cs="Times New Roman"/>
          <w:sz w:val="28"/>
          <w:szCs w:val="28"/>
        </w:rPr>
        <w:sectPr w:rsidR="00530AFD" w:rsidRPr="00AA66FB" w:rsidSect="00586110"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974C50" w:rsidRPr="00E448BD" w:rsidRDefault="00974C50" w:rsidP="00974C50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4C50" w:rsidRPr="00E448BD" w:rsidRDefault="00974C50" w:rsidP="00974C5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 xml:space="preserve">к </w:t>
      </w:r>
      <w:r w:rsidR="00667A66">
        <w:rPr>
          <w:rFonts w:ascii="Times New Roman" w:hAnsi="Times New Roman" w:cs="Times New Roman"/>
          <w:sz w:val="28"/>
          <w:szCs w:val="28"/>
        </w:rPr>
        <w:t>П</w:t>
      </w:r>
      <w:r w:rsidRPr="00E448BD">
        <w:rPr>
          <w:rFonts w:ascii="Times New Roman" w:hAnsi="Times New Roman" w:cs="Times New Roman"/>
          <w:sz w:val="28"/>
          <w:szCs w:val="28"/>
        </w:rPr>
        <w:t>оложению</w:t>
      </w:r>
    </w:p>
    <w:p w:rsidR="00974C50" w:rsidRPr="00E448BD" w:rsidRDefault="00974C50" w:rsidP="00974C5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об особо охраняемой</w:t>
      </w:r>
    </w:p>
    <w:p w:rsidR="00974C50" w:rsidRPr="00E448BD" w:rsidRDefault="00974C50" w:rsidP="00974C5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природной территории</w:t>
      </w:r>
    </w:p>
    <w:p w:rsidR="00974C50" w:rsidRPr="00E448BD" w:rsidRDefault="00974C50" w:rsidP="00974C5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974C50" w:rsidRPr="00E448BD" w:rsidRDefault="00974C50" w:rsidP="00974C5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4C50" w:rsidRPr="00E448BD" w:rsidRDefault="00974C50" w:rsidP="00974C5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74C50" w:rsidRPr="00E448BD" w:rsidRDefault="00974C50" w:rsidP="00974C5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природной рекреационной</w:t>
      </w:r>
    </w:p>
    <w:p w:rsidR="00974C50" w:rsidRPr="00974C50" w:rsidRDefault="00974C50" w:rsidP="00974C50">
      <w:pPr>
        <w:pStyle w:val="ConsPlusTitle"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974C50">
        <w:rPr>
          <w:rFonts w:ascii="Times New Roman" w:hAnsi="Times New Roman" w:cs="Times New Roman"/>
          <w:b w:val="0"/>
          <w:sz w:val="28"/>
          <w:szCs w:val="28"/>
        </w:rPr>
        <w:t>зоне «Голубая бухта»</w:t>
      </w:r>
    </w:p>
    <w:p w:rsidR="00974C50" w:rsidRDefault="00974C50" w:rsidP="00974C50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C50" w:rsidRDefault="00974C50" w:rsidP="00974C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0AFD" w:rsidRPr="00EC4803" w:rsidRDefault="00F22B78" w:rsidP="00530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0AFD">
        <w:rPr>
          <w:rFonts w:ascii="Times New Roman" w:hAnsi="Times New Roman" w:cs="Times New Roman"/>
          <w:b w:val="0"/>
          <w:sz w:val="28"/>
          <w:szCs w:val="28"/>
        </w:rPr>
        <w:t>КООРДИНАТ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586110" w:rsidRPr="00667A66" w:rsidRDefault="00530AFD" w:rsidP="00667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0AFD">
        <w:rPr>
          <w:rFonts w:ascii="Times New Roman" w:hAnsi="Times New Roman" w:cs="Times New Roman"/>
          <w:b w:val="0"/>
          <w:sz w:val="28"/>
          <w:szCs w:val="28"/>
        </w:rPr>
        <w:t>характерных</w:t>
      </w:r>
      <w:r w:rsidRPr="00EC4803">
        <w:rPr>
          <w:rFonts w:ascii="Times New Roman" w:hAnsi="Times New Roman" w:cs="Times New Roman"/>
          <w:b w:val="0"/>
          <w:sz w:val="28"/>
          <w:szCs w:val="28"/>
        </w:rPr>
        <w:t xml:space="preserve"> точек границ особо охраняемой природной территории местного значения муниципального образования город-курорт Геленджик природной рекреационной зон</w:t>
      </w:r>
      <w:r w:rsidR="00F22B78">
        <w:rPr>
          <w:rFonts w:ascii="Times New Roman" w:hAnsi="Times New Roman" w:cs="Times New Roman"/>
          <w:b w:val="0"/>
          <w:sz w:val="28"/>
          <w:szCs w:val="28"/>
        </w:rPr>
        <w:t>ы</w:t>
      </w:r>
      <w:r w:rsidR="00667A66">
        <w:rPr>
          <w:rFonts w:ascii="Times New Roman" w:hAnsi="Times New Roman" w:cs="Times New Roman"/>
          <w:b w:val="0"/>
          <w:sz w:val="28"/>
          <w:szCs w:val="28"/>
        </w:rPr>
        <w:t xml:space="preserve"> «Голубая бухта»</w:t>
      </w:r>
    </w:p>
    <w:p w:rsidR="00667A66" w:rsidRDefault="00667A66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667A66" w:rsidRDefault="00667A66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667A66">
        <w:rPr>
          <w:rFonts w:ascii="Times New Roman" w:hAnsi="Times New Roman" w:cs="Times New Roman"/>
          <w:sz w:val="28"/>
          <w:szCs w:val="28"/>
        </w:rPr>
        <w:t>23:40:0000000:5922</w:t>
      </w:r>
    </w:p>
    <w:p w:rsidR="00667A66" w:rsidRPr="00501CE1" w:rsidRDefault="00667A66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728" w:type="dxa"/>
        <w:tblInd w:w="93" w:type="dxa"/>
        <w:tblLook w:val="04A0" w:firstRow="1" w:lastRow="0" w:firstColumn="1" w:lastColumn="0" w:noHBand="0" w:noVBand="1"/>
      </w:tblPr>
      <w:tblGrid>
        <w:gridCol w:w="496"/>
        <w:gridCol w:w="1546"/>
        <w:gridCol w:w="1686"/>
      </w:tblGrid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426987,943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1300883,110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426961,647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1300897,736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426955,906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1300900,780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426936,742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1300913,385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426929,980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1300916,767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426916,187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1300923,664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426892,992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1300932,392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426865,216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1300940,798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426844,722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1300943,429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426820,037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1300945,648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426810,115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1300946,085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426782,869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1300947,306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426745,111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1300949,261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426639,908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1300954,326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426626,675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1300954,970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426609,222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1300959,548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426650,230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1301110,147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426651,881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1301117,011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426652,501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1301124,039</w:t>
            </w:r>
          </w:p>
        </w:tc>
      </w:tr>
    </w:tbl>
    <w:tbl>
      <w:tblPr>
        <w:tblpPr w:leftFromText="180" w:rightFromText="180" w:vertAnchor="text" w:horzAnchor="page" w:tblpX="6346" w:tblpY="-31"/>
        <w:tblOverlap w:val="never"/>
        <w:tblW w:w="3728" w:type="dxa"/>
        <w:tblLook w:val="04A0" w:firstRow="1" w:lastRow="0" w:firstColumn="1" w:lastColumn="0" w:noHBand="0" w:noVBand="1"/>
      </w:tblPr>
      <w:tblGrid>
        <w:gridCol w:w="496"/>
        <w:gridCol w:w="1686"/>
        <w:gridCol w:w="1826"/>
      </w:tblGrid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426653,7712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1301145,2065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501CE1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426672,5052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1301149,3064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426707,9327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1301156,1038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426708,4828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1301153,9095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426731,1277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1301158,1744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426730,8876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1301159,3458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426740,0896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1301161,9773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D8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426737,399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1301173,7243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426761,8843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1301177,1312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426757,8434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1301203,6609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427040,7539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1301144,1589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D8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427036,693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1301094,3332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427032,6321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1301044,4993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427028,5713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1300994,6654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427024,5104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1300944,8397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427020,4495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D8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1300895,014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427012,3978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1300876,4284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427010,0573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D8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1300873,17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1CE1" w:rsidRPr="00501CE1" w:rsidTr="00501CE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427008,2969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01CE1" w:rsidRPr="00501CE1" w:rsidRDefault="00D874A9" w:rsidP="0050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1300870,8354</w:t>
            </w:r>
          </w:p>
        </w:tc>
      </w:tr>
    </w:tbl>
    <w:p w:rsidR="00501CE1" w:rsidRDefault="00501CE1" w:rsidP="00501CE1">
      <w:pPr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</w:p>
    <w:p w:rsidR="00A56979" w:rsidRDefault="00501CE1" w:rsidP="00501CE1">
      <w:pPr>
        <w:spacing w:after="0" w:line="240" w:lineRule="auto"/>
        <w:ind w:left="4536"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56979" w:rsidRDefault="00667A66" w:rsidP="00667A66">
      <w:pPr>
        <w:spacing w:after="0" w:line="240" w:lineRule="auto"/>
        <w:ind w:left="4536" w:right="1132" w:hanging="4536"/>
        <w:jc w:val="center"/>
        <w:rPr>
          <w:rFonts w:ascii="Times New Roman" w:hAnsi="Times New Roman" w:cs="Times New Roman"/>
          <w:sz w:val="28"/>
          <w:szCs w:val="28"/>
        </w:rPr>
      </w:pPr>
      <w:r w:rsidRPr="00667A6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23:40:0000000:5929</w:t>
      </w:r>
    </w:p>
    <w:p w:rsidR="004F516A" w:rsidRDefault="004F516A" w:rsidP="00667A66">
      <w:pPr>
        <w:spacing w:after="0" w:line="240" w:lineRule="auto"/>
        <w:ind w:left="4536" w:right="1132" w:hanging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496"/>
        <w:gridCol w:w="1546"/>
        <w:gridCol w:w="1686"/>
        <w:gridCol w:w="960"/>
        <w:gridCol w:w="572"/>
        <w:gridCol w:w="1420"/>
        <w:gridCol w:w="1880"/>
      </w:tblGrid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427056,277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1301403,533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426837,88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1301386,086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427052,646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1301353,748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426838,55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1301385,904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427047,945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1301293,941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426841,17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1301385,978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427052,947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1301293,644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426846,76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1301386,515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427048,866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1301243,818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426854,15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1301387,224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427044,815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1301193,993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426855,58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1301376,459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427040,754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1301144,159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426859,59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1301376,978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426757,843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1301203,661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426860,48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1301377,729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426755,973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1301210,912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426861,72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1301378,051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426753,382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1301238,605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426865,67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1301379,041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426727,887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1301235,792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426869,59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1301379,965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426730,248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1301208,041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426873,09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1301380,831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426700,661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1301208,215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426872,6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1301384,782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426701,221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1301239,075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426871,59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1301389,361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426704,802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1301239,364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426874,88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1301391,736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426706,773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1301254,097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426884,99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1301395,737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426708,363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1301260,853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426889,81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1301385,261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426709,133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1301266,867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426891,42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1301380,187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426710,193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1301270,332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426891,6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1301377,952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426712,054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1301279,101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426907,46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1301378,818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426713,774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1301293,545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426909,1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1301366,824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426723,906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1301320,248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426910,22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1301353,006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426740,92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1301321,518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426929,3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1301354,268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426741,7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1301341,845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426929,17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1301345,401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426753,382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1301341,556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426934,47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1301326,917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426755,963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426916,85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1301323,452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426757,833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1301341,449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426919,93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1301307,695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426761,874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426938,91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1301311,423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426762,484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1301341,333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426943,84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1301312,39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426776,207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1301341,993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426941,79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1301319,522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426774,027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1301376,343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426959,13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1301320,273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426818,576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1301381,771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426959,78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1301362,839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426835,67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1301384,023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426966,77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1301362,729</w:t>
            </w:r>
          </w:p>
        </w:tc>
      </w:tr>
      <w:tr w:rsidR="004F516A" w:rsidRPr="004F516A" w:rsidTr="004F516A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426835,52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1301385,393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6A" w:rsidRPr="004F516A" w:rsidRDefault="004F516A" w:rsidP="004F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426966,41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6A" w:rsidRPr="004F516A" w:rsidRDefault="004F516A" w:rsidP="004F5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1301408,187</w:t>
            </w:r>
          </w:p>
        </w:tc>
      </w:tr>
    </w:tbl>
    <w:p w:rsidR="004F516A" w:rsidRDefault="004F516A" w:rsidP="00667A66">
      <w:pPr>
        <w:spacing w:after="0" w:line="240" w:lineRule="auto"/>
        <w:ind w:left="4536" w:right="1132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4F516A" w:rsidRDefault="004F516A" w:rsidP="00667A66">
      <w:pPr>
        <w:spacing w:after="0" w:line="240" w:lineRule="auto"/>
        <w:ind w:left="4536" w:right="1132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AA66FB" w:rsidRDefault="00AA66FB" w:rsidP="00AA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AA66FB" w:rsidRDefault="00AA66FB" w:rsidP="00AA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AA66FB" w:rsidRDefault="00AA66FB" w:rsidP="00AA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66FB" w:rsidRPr="0090500A" w:rsidRDefault="00AA66FB" w:rsidP="00766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sectPr w:rsidR="00AA66FB" w:rsidRPr="0090500A" w:rsidSect="0090500A">
      <w:pgSz w:w="11905" w:h="16838"/>
      <w:pgMar w:top="1134" w:right="567" w:bottom="1134" w:left="1701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C4" w:rsidRDefault="000905C4" w:rsidP="00544EC0">
      <w:pPr>
        <w:spacing w:after="0" w:line="240" w:lineRule="auto"/>
      </w:pPr>
      <w:r>
        <w:separator/>
      </w:r>
    </w:p>
  </w:endnote>
  <w:endnote w:type="continuationSeparator" w:id="0">
    <w:p w:rsidR="000905C4" w:rsidRDefault="000905C4" w:rsidP="005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C4" w:rsidRDefault="000905C4" w:rsidP="00544EC0">
      <w:pPr>
        <w:spacing w:after="0" w:line="240" w:lineRule="auto"/>
      </w:pPr>
      <w:r>
        <w:separator/>
      </w:r>
    </w:p>
  </w:footnote>
  <w:footnote w:type="continuationSeparator" w:id="0">
    <w:p w:rsidR="000905C4" w:rsidRDefault="000905C4" w:rsidP="0054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7BF6" w:rsidRPr="00544EC0" w:rsidRDefault="005A7BF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4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4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6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7BF6" w:rsidRDefault="005A7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0156B0"/>
    <w:rsid w:val="00061425"/>
    <w:rsid w:val="000636E0"/>
    <w:rsid w:val="0008670F"/>
    <w:rsid w:val="000905C4"/>
    <w:rsid w:val="000A3744"/>
    <w:rsid w:val="0010302E"/>
    <w:rsid w:val="0014326B"/>
    <w:rsid w:val="00175CCE"/>
    <w:rsid w:val="00214151"/>
    <w:rsid w:val="002243B5"/>
    <w:rsid w:val="00285D6B"/>
    <w:rsid w:val="002E13B9"/>
    <w:rsid w:val="002E531D"/>
    <w:rsid w:val="002E754B"/>
    <w:rsid w:val="00311519"/>
    <w:rsid w:val="003F1C8E"/>
    <w:rsid w:val="00425B46"/>
    <w:rsid w:val="00453676"/>
    <w:rsid w:val="00455190"/>
    <w:rsid w:val="00497894"/>
    <w:rsid w:val="004B782F"/>
    <w:rsid w:val="004F516A"/>
    <w:rsid w:val="00501CE1"/>
    <w:rsid w:val="00521F75"/>
    <w:rsid w:val="00530AFD"/>
    <w:rsid w:val="00544EC0"/>
    <w:rsid w:val="00586110"/>
    <w:rsid w:val="005A7BF6"/>
    <w:rsid w:val="00613B8D"/>
    <w:rsid w:val="00635A65"/>
    <w:rsid w:val="00667A66"/>
    <w:rsid w:val="006B6F54"/>
    <w:rsid w:val="006C1FB7"/>
    <w:rsid w:val="00700323"/>
    <w:rsid w:val="007425A7"/>
    <w:rsid w:val="00766625"/>
    <w:rsid w:val="008F5E26"/>
    <w:rsid w:val="0090500A"/>
    <w:rsid w:val="00956443"/>
    <w:rsid w:val="00974C50"/>
    <w:rsid w:val="009D5D0F"/>
    <w:rsid w:val="009E19CE"/>
    <w:rsid w:val="00A01500"/>
    <w:rsid w:val="00A24C54"/>
    <w:rsid w:val="00A44A93"/>
    <w:rsid w:val="00A56979"/>
    <w:rsid w:val="00AA66FB"/>
    <w:rsid w:val="00AE7DE4"/>
    <w:rsid w:val="00AF4C5E"/>
    <w:rsid w:val="00B53043"/>
    <w:rsid w:val="00B645F9"/>
    <w:rsid w:val="00BF5CEB"/>
    <w:rsid w:val="00C43745"/>
    <w:rsid w:val="00C7134F"/>
    <w:rsid w:val="00C73EE2"/>
    <w:rsid w:val="00C90621"/>
    <w:rsid w:val="00CF6C9A"/>
    <w:rsid w:val="00D10DD1"/>
    <w:rsid w:val="00D66747"/>
    <w:rsid w:val="00D874A9"/>
    <w:rsid w:val="00DC1092"/>
    <w:rsid w:val="00DD66D5"/>
    <w:rsid w:val="00E2030F"/>
    <w:rsid w:val="00E32183"/>
    <w:rsid w:val="00F22B78"/>
    <w:rsid w:val="00F239C1"/>
    <w:rsid w:val="00F32F79"/>
    <w:rsid w:val="00F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6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6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5D16AEDEF10B7A92017F8CD77EA72900F313A1FE6DFF980C33E02EBA861E7CAF83AF2A30356E0D2E998D9Ey608M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B95D16AEDEF10B7A92017F8CD77EA72902F91BADFF6DFF980C33E02EBA861E7CAF83AF2A30356E0D2E998D9Ey60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B95D16AEDEF10B7A92017F8CD77EA72900F313A1FE6DFF980C33E02EBA861E7CAF83AF2A30356E0D2E998D9Ey60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95D16AEDEF10B7A92017F8CD77EA72902F91BADFF6DFF980C33E02EBA861E7CAF83AF2A30356E0D2E998D9Ey608M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AE58-43BC-41D1-A23D-EDA7C39F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Максим Станиславович</dc:creator>
  <cp:keywords/>
  <dc:description/>
  <cp:lastModifiedBy>Стародубцев В.Э.</cp:lastModifiedBy>
  <cp:revision>29</cp:revision>
  <cp:lastPrinted>2021-11-25T14:53:00Z</cp:lastPrinted>
  <dcterms:created xsi:type="dcterms:W3CDTF">2021-10-20T12:37:00Z</dcterms:created>
  <dcterms:modified xsi:type="dcterms:W3CDTF">2021-11-25T14:54:00Z</dcterms:modified>
</cp:coreProperties>
</file>