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D4" w:rsidRPr="001109AF" w:rsidRDefault="001109AF" w:rsidP="00975EFA">
      <w:pPr>
        <w:spacing w:after="0" w:line="240" w:lineRule="auto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  <w:r w:rsidRPr="001109AF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C76DD4" w:rsidRDefault="00C76DD4" w:rsidP="00781F07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781F07" w:rsidP="00781F07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ДОКЛАД</w:t>
      </w:r>
    </w:p>
    <w:p w:rsidR="00781F07" w:rsidRPr="00781F07" w:rsidRDefault="00781F07" w:rsidP="00781F07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2E511F" w:rsidP="00781F07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781F07" w:rsidRPr="00781F07">
        <w:rPr>
          <w:rFonts w:ascii="Times New Roman" w:hAnsi="Times New Roman" w:cs="Times New Roman"/>
          <w:sz w:val="28"/>
          <w:szCs w:val="28"/>
        </w:rPr>
        <w:t xml:space="preserve"> результатах обобщения правоприменительной практики при</w:t>
      </w:r>
    </w:p>
    <w:p w:rsidR="00781F07" w:rsidRPr="00781F07" w:rsidRDefault="00781F07" w:rsidP="00781F07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1F07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="00EB26F5">
        <w:rPr>
          <w:rFonts w:ascii="Times New Roman" w:hAnsi="Times New Roman" w:cs="Times New Roman"/>
          <w:sz w:val="28"/>
          <w:szCs w:val="28"/>
        </w:rPr>
        <w:t xml:space="preserve"> </w:t>
      </w:r>
      <w:r w:rsidRPr="00781F07">
        <w:rPr>
          <w:rFonts w:ascii="Times New Roman" w:hAnsi="Times New Roman" w:cs="Times New Roman"/>
          <w:sz w:val="28"/>
          <w:szCs w:val="28"/>
        </w:rPr>
        <w:t>регионального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F07">
        <w:rPr>
          <w:rFonts w:ascii="Times New Roman" w:hAnsi="Times New Roman" w:cs="Times New Roman"/>
          <w:sz w:val="28"/>
          <w:szCs w:val="28"/>
        </w:rPr>
        <w:t>строительного надзора</w:t>
      </w:r>
      <w:r w:rsidR="00984B7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город-курорт Геленджик</w:t>
      </w:r>
      <w:r w:rsidR="00EB26F5">
        <w:rPr>
          <w:rFonts w:ascii="Times New Roman" w:hAnsi="Times New Roman" w:cs="Times New Roman"/>
          <w:sz w:val="28"/>
          <w:szCs w:val="28"/>
        </w:rPr>
        <w:t xml:space="preserve"> в случаях, предусмотренных частью 2 статьи 54 Градостроительного кодекса Российской Федерации</w:t>
      </w:r>
      <w:r w:rsidRPr="00781F07">
        <w:rPr>
          <w:rFonts w:ascii="Times New Roman" w:hAnsi="Times New Roman" w:cs="Times New Roman"/>
          <w:sz w:val="28"/>
          <w:szCs w:val="28"/>
        </w:rPr>
        <w:t xml:space="preserve"> за 202</w:t>
      </w:r>
      <w:r w:rsidR="001109AF" w:rsidRPr="00D31983">
        <w:rPr>
          <w:rFonts w:ascii="Times New Roman" w:hAnsi="Times New Roman" w:cs="Times New Roman"/>
          <w:sz w:val="28"/>
          <w:szCs w:val="28"/>
        </w:rPr>
        <w:t>3</w:t>
      </w:r>
      <w:r w:rsidRPr="00781F07">
        <w:rPr>
          <w:rFonts w:ascii="Times New Roman" w:hAnsi="Times New Roman" w:cs="Times New Roman"/>
          <w:sz w:val="28"/>
          <w:szCs w:val="28"/>
        </w:rPr>
        <w:t xml:space="preserve"> год</w:t>
      </w:r>
      <w:r w:rsidR="002E511F">
        <w:rPr>
          <w:rFonts w:ascii="Times New Roman" w:hAnsi="Times New Roman" w:cs="Times New Roman"/>
          <w:sz w:val="28"/>
          <w:szCs w:val="28"/>
        </w:rPr>
        <w:t>»</w:t>
      </w:r>
    </w:p>
    <w:p w:rsidR="00781F07" w:rsidRPr="00781F07" w:rsidRDefault="00781F07" w:rsidP="00781F07">
      <w:pPr>
        <w:spacing w:after="0" w:line="240" w:lineRule="auto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811">
        <w:rPr>
          <w:rFonts w:ascii="Times New Roman" w:hAnsi="Times New Roman" w:cs="Times New Roman"/>
          <w:sz w:val="28"/>
          <w:szCs w:val="28"/>
        </w:rPr>
        <w:t xml:space="preserve">Настоящий доклад о результатах обобщения правоприменительной практики при осуществлении </w:t>
      </w:r>
      <w:r w:rsidR="00984B7B" w:rsidRPr="00943811">
        <w:rPr>
          <w:rFonts w:ascii="Times New Roman" w:hAnsi="Times New Roman" w:cs="Times New Roman"/>
          <w:sz w:val="28"/>
          <w:szCs w:val="28"/>
        </w:rPr>
        <w:t>регионального государственного строительного надзора</w:t>
      </w:r>
      <w:r w:rsidRPr="00943811">
        <w:rPr>
          <w:rFonts w:ascii="Times New Roman" w:hAnsi="Times New Roman" w:cs="Times New Roman"/>
          <w:sz w:val="28"/>
          <w:szCs w:val="28"/>
        </w:rPr>
        <w:t xml:space="preserve"> </w:t>
      </w:r>
      <w:r w:rsidR="00984B7B" w:rsidRPr="0094381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город-курорт Геленджик </w:t>
      </w:r>
      <w:r w:rsidRPr="0094381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43811">
        <w:rPr>
          <w:rFonts w:ascii="Times New Roman" w:hAnsi="Times New Roman" w:cs="Times New Roman"/>
          <w:sz w:val="28"/>
          <w:szCs w:val="28"/>
        </w:rPr>
        <w:t>Администрация</w:t>
      </w:r>
      <w:r w:rsidRPr="00943811">
        <w:rPr>
          <w:rFonts w:ascii="Times New Roman" w:hAnsi="Times New Roman" w:cs="Times New Roman"/>
          <w:sz w:val="28"/>
          <w:szCs w:val="28"/>
        </w:rPr>
        <w:t>) от имени администрации муниципального образования город</w:t>
      </w:r>
      <w:r w:rsidR="00984B7B" w:rsidRPr="00943811">
        <w:rPr>
          <w:rFonts w:ascii="Times New Roman" w:hAnsi="Times New Roman" w:cs="Times New Roman"/>
          <w:sz w:val="28"/>
          <w:szCs w:val="28"/>
        </w:rPr>
        <w:t>-курорт</w:t>
      </w:r>
      <w:r w:rsidRPr="00943811">
        <w:rPr>
          <w:rFonts w:ascii="Times New Roman" w:hAnsi="Times New Roman" w:cs="Times New Roman"/>
          <w:sz w:val="28"/>
          <w:szCs w:val="28"/>
        </w:rPr>
        <w:t xml:space="preserve"> </w:t>
      </w:r>
      <w:r w:rsidR="00984B7B" w:rsidRPr="00943811">
        <w:rPr>
          <w:rFonts w:ascii="Times New Roman" w:hAnsi="Times New Roman" w:cs="Times New Roman"/>
          <w:sz w:val="28"/>
          <w:szCs w:val="28"/>
        </w:rPr>
        <w:t>Геленджик</w:t>
      </w:r>
      <w:r w:rsidRPr="00943811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строительного надзора</w:t>
      </w:r>
      <w:r w:rsidR="00EB26F5" w:rsidRPr="00943811">
        <w:rPr>
          <w:rFonts w:ascii="Times New Roman" w:hAnsi="Times New Roman" w:cs="Times New Roman"/>
          <w:sz w:val="28"/>
          <w:szCs w:val="28"/>
        </w:rPr>
        <w:t xml:space="preserve"> в случаях, предусмотренных частью 2 статьи 54 Градостроительного кодекса Российской Федерации </w:t>
      </w:r>
      <w:r w:rsidRPr="00943811">
        <w:rPr>
          <w:rFonts w:ascii="Times New Roman" w:hAnsi="Times New Roman" w:cs="Times New Roman"/>
          <w:sz w:val="28"/>
          <w:szCs w:val="28"/>
        </w:rPr>
        <w:t>подготовлен за период: август - декабрь 2022 года</w:t>
      </w:r>
      <w:r w:rsidRPr="00781F07">
        <w:rPr>
          <w:rFonts w:ascii="Times New Roman" w:hAnsi="Times New Roman" w:cs="Times New Roman"/>
          <w:sz w:val="28"/>
          <w:szCs w:val="28"/>
        </w:rPr>
        <w:t>, во исполнение статьи 47 Федерального закона от 31</w:t>
      </w:r>
      <w:r w:rsidR="0052426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81F07">
        <w:rPr>
          <w:rFonts w:ascii="Times New Roman" w:hAnsi="Times New Roman" w:cs="Times New Roman"/>
          <w:sz w:val="28"/>
          <w:szCs w:val="28"/>
        </w:rPr>
        <w:t>2020 № 248-ФЗ</w:t>
      </w:r>
      <w:proofErr w:type="gramEnd"/>
      <w:r w:rsidRPr="00781F07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 (далее – Федерального закона № 248-ФЗ).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 xml:space="preserve">Порядок организации работы контрольно-надзорной деятельности </w:t>
      </w:r>
      <w:r w:rsidR="00943811">
        <w:rPr>
          <w:rFonts w:ascii="Times New Roman" w:hAnsi="Times New Roman" w:cs="Times New Roman"/>
          <w:sz w:val="28"/>
          <w:szCs w:val="28"/>
        </w:rPr>
        <w:t>Администрации</w:t>
      </w:r>
      <w:r w:rsidRPr="00781F07">
        <w:rPr>
          <w:rFonts w:ascii="Times New Roman" w:hAnsi="Times New Roman" w:cs="Times New Roman"/>
          <w:sz w:val="28"/>
          <w:szCs w:val="28"/>
        </w:rPr>
        <w:t xml:space="preserve"> устанавливается: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Федеральным законом № 248-ФЗ;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</w:t>
      </w:r>
      <w:r w:rsidR="0052426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81F07">
        <w:rPr>
          <w:rFonts w:ascii="Times New Roman" w:hAnsi="Times New Roman" w:cs="Times New Roman"/>
          <w:sz w:val="28"/>
          <w:szCs w:val="28"/>
        </w:rPr>
        <w:t>2004 № 190-ФЗ;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52426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81F07">
        <w:rPr>
          <w:rFonts w:ascii="Times New Roman" w:hAnsi="Times New Roman" w:cs="Times New Roman"/>
          <w:sz w:val="28"/>
          <w:szCs w:val="28"/>
        </w:rPr>
        <w:t xml:space="preserve"> от 16</w:t>
      </w:r>
      <w:r w:rsidR="0052426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781F07">
        <w:rPr>
          <w:rFonts w:ascii="Times New Roman" w:hAnsi="Times New Roman" w:cs="Times New Roman"/>
          <w:sz w:val="28"/>
          <w:szCs w:val="28"/>
        </w:rPr>
        <w:t>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№ 415»;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F0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</w:t>
      </w:r>
      <w:r w:rsidR="0052426F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81F07">
        <w:rPr>
          <w:rFonts w:ascii="Times New Roman" w:hAnsi="Times New Roman" w:cs="Times New Roman"/>
          <w:sz w:val="28"/>
          <w:szCs w:val="28"/>
        </w:rPr>
        <w:t>2021 № 338 «О межведомственном информационном взаимодействии в рамках осуществления государственного контроля (надзора), муниципального контроля» (вместе с «Правилами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</w:t>
      </w:r>
      <w:proofErr w:type="gramEnd"/>
      <w:r w:rsidRPr="00781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F07">
        <w:rPr>
          <w:rFonts w:ascii="Times New Roman" w:hAnsi="Times New Roman" w:cs="Times New Roman"/>
          <w:sz w:val="28"/>
          <w:szCs w:val="28"/>
        </w:rPr>
        <w:t>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контроля», «Требованиями к информационному взаимодействию информационных систем, указанных в частях 1 и 2 статьи 17 Федерального закона «О государственном контроле (надзоре) и муниципальном контроле в Российской Федерации»);</w:t>
      </w:r>
      <w:proofErr w:type="gramEnd"/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Постановлением Правительства РФ от 25</w:t>
      </w:r>
      <w:r w:rsidR="0052426F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781F07">
        <w:rPr>
          <w:rFonts w:ascii="Times New Roman" w:hAnsi="Times New Roman" w:cs="Times New Roman"/>
          <w:sz w:val="28"/>
          <w:szCs w:val="28"/>
        </w:rPr>
        <w:t xml:space="preserve">2021 № 990 «Об утверждении Правил разработки и утверждения контрольными (надзорными) </w:t>
      </w:r>
      <w:r w:rsidRPr="00781F07">
        <w:rPr>
          <w:rFonts w:ascii="Times New Roman" w:hAnsi="Times New Roman" w:cs="Times New Roman"/>
          <w:sz w:val="28"/>
          <w:szCs w:val="28"/>
        </w:rPr>
        <w:lastRenderedPageBreak/>
        <w:t>органами программы профилактики рисков причинения вреда (ущерба) охраняемым законом ценностям»;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Постановлением Правительства РФ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Постановлением Правительства РФ от 01.12.2021 № 2161 «Об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30.06.2021 № 1087 и признании утратившими силу некоторых актов Правительства Российской Федерации</w:t>
      </w:r>
      <w:r w:rsidR="00984B7B">
        <w:rPr>
          <w:rFonts w:ascii="Times New Roman" w:hAnsi="Times New Roman" w:cs="Times New Roman"/>
          <w:sz w:val="28"/>
          <w:szCs w:val="28"/>
        </w:rPr>
        <w:t>»;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Приказом Генеральной прокуратуры Российской федерации от 02.06.2021 № 294 «О реализации Федерального закона от 31.07.2020 № 248-ФЗ «О государственном контроле (надзоре) и муниципальном контроле в Российской Федерации» (далее – Приказ № 294);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Законом Краснодарского края от 08.06.2022 № 4684-КЗ «О наделении органов местного самоуправления в Краснодарском крае отдельным государственным полномочием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Федерации»;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Распоряжением главы администрации (губернатора) Краснодарского края от 21.12.2018 № 352-р «О мерах по предотвращению и пресечению самовольного строительства на территории Краснодарского края»;</w:t>
      </w:r>
    </w:p>
    <w:p w:rsidR="00781F07" w:rsidRPr="00781F07" w:rsidRDefault="00781F07" w:rsidP="006A6A35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30.12.2021 № 1021 «Об утверждении Положения о региональном государственном строительном надзоре»;</w:t>
      </w:r>
    </w:p>
    <w:p w:rsidR="001109AF" w:rsidRPr="00781F07" w:rsidRDefault="005F1750" w:rsidP="005F1750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C6D77">
        <w:rPr>
          <w:rFonts w:ascii="Times New Roman" w:hAnsi="Times New Roman" w:cs="Times New Roman"/>
          <w:sz w:val="28"/>
          <w:szCs w:val="28"/>
        </w:rPr>
        <w:t>Устав муниципального образования город-курорт Геленджик.</w:t>
      </w:r>
    </w:p>
    <w:p w:rsidR="006A6A35" w:rsidRDefault="006A6A35" w:rsidP="00781F07">
      <w:pPr>
        <w:spacing w:after="0" w:line="240" w:lineRule="auto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5C6D77" w:rsidRDefault="005C6D77" w:rsidP="006A6A35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781F07" w:rsidP="006A6A35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1F07" w:rsidRPr="00781F07" w:rsidRDefault="00781F07" w:rsidP="00781F07">
      <w:pPr>
        <w:spacing w:after="0" w:line="240" w:lineRule="auto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781F07" w:rsidP="00E4460E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Доклад подготовлен в целях предупреждения нарушений юридическими лицами, индивидуальными предпринимателями и гражданами обязательных требований при строительстве (реконструкции) объектов капитального строительства, проверка соблюдения которых является предметом регионального государственного строительного надзора (далее – РГСН), устранения причин, факторов и условий, способствующих нарушениям обязательных требований.</w:t>
      </w:r>
    </w:p>
    <w:p w:rsidR="00781F07" w:rsidRPr="00781F07" w:rsidRDefault="0052426F" w:rsidP="00E4460E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781F07" w:rsidRPr="00781F07">
        <w:rPr>
          <w:rFonts w:ascii="Times New Roman" w:hAnsi="Times New Roman" w:cs="Times New Roman"/>
          <w:sz w:val="28"/>
          <w:szCs w:val="28"/>
        </w:rPr>
        <w:t xml:space="preserve">является органом местного самоуправления, наделённым отдельным государственным полномочием Краснодарского края по осуществлению РГСН в случаях, предусмотренных частью 2 статьи 54 Градостроительного кодекса Российской Федерации (далее – Градостроительный кодекс РФ, </w:t>
      </w:r>
      <w:proofErr w:type="spellStart"/>
      <w:r w:rsidR="00781F07" w:rsidRPr="00781F0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781F07" w:rsidRPr="00781F07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781F07" w:rsidRPr="00781F07" w:rsidRDefault="0052426F" w:rsidP="00E4460E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81F07" w:rsidRPr="00781F07">
        <w:rPr>
          <w:rFonts w:ascii="Times New Roman" w:hAnsi="Times New Roman" w:cs="Times New Roman"/>
          <w:sz w:val="28"/>
          <w:szCs w:val="28"/>
        </w:rPr>
        <w:t xml:space="preserve"> уполномочен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1F07" w:rsidRPr="00781F07">
        <w:rPr>
          <w:rFonts w:ascii="Times New Roman" w:hAnsi="Times New Roman" w:cs="Times New Roman"/>
          <w:sz w:val="28"/>
          <w:szCs w:val="28"/>
        </w:rPr>
        <w:t xml:space="preserve"> на осуществление РГСН за строительством, реконструкцией объектов капитального строительства, если при их строительстве, реконструкции </w:t>
      </w:r>
      <w:proofErr w:type="spellStart"/>
      <w:r w:rsidR="00781F07" w:rsidRPr="00781F0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781F07" w:rsidRPr="00781F07">
        <w:rPr>
          <w:rFonts w:ascii="Times New Roman" w:hAnsi="Times New Roman" w:cs="Times New Roman"/>
          <w:sz w:val="28"/>
          <w:szCs w:val="28"/>
        </w:rPr>
        <w:t xml:space="preserve"> РФ предусмотрено осуществление РГСН, несоответствия объекта капитального строительства предельным параметрам разрешенного строительства, реконструкции объектов капитального строительства, установленным </w:t>
      </w:r>
      <w:r w:rsidR="005F1750" w:rsidRPr="005F1750">
        <w:rPr>
          <w:rFonts w:ascii="Times New Roman" w:hAnsi="Times New Roman" w:cs="Times New Roman"/>
          <w:sz w:val="28"/>
          <w:szCs w:val="28"/>
        </w:rPr>
        <w:t xml:space="preserve"> Правилами землепользования и застройки территории муниципального образования город-курорт Геленджик, утвержденные решением Думы муниципального образования город-курорт Геленджик от 27 июля 2010 года №466</w:t>
      </w:r>
      <w:r w:rsidR="002504E1" w:rsidRPr="005F17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1F07" w:rsidRPr="00781F07" w:rsidRDefault="00781F07" w:rsidP="00E4460E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 xml:space="preserve">Предметом РГСН в отношении объектов капитального строительства, указанных в части 2 статьи 54 </w:t>
      </w:r>
      <w:proofErr w:type="spellStart"/>
      <w:r w:rsidRPr="00781F0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81F07">
        <w:rPr>
          <w:rFonts w:ascii="Times New Roman" w:hAnsi="Times New Roman" w:cs="Times New Roman"/>
          <w:sz w:val="28"/>
          <w:szCs w:val="28"/>
        </w:rPr>
        <w:t xml:space="preserve"> РФ, является соблюдение требований, установленных частью 4 статьи 54 </w:t>
      </w:r>
      <w:proofErr w:type="spellStart"/>
      <w:r w:rsidRPr="00781F0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81F07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781F07" w:rsidRPr="00781F07" w:rsidRDefault="00781F07" w:rsidP="00E4460E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требований наличия разрешения на строительство и соответствия объекта капитального строительства параметрам, указанным в разрешении на строительство, если разрешение на строительство требуется для строительства или реконструкции объекта капитального строительства;</w:t>
      </w:r>
    </w:p>
    <w:p w:rsidR="00781F07" w:rsidRDefault="00781F07" w:rsidP="00E4460E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соответствия параметров объектов капитального строительства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единым документом,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законами, если для строительства или реконструкции объекта капитального строительства не требуется разрешение на строительство.</w:t>
      </w:r>
    </w:p>
    <w:p w:rsidR="007B68B4" w:rsidRPr="00781F07" w:rsidRDefault="007B68B4" w:rsidP="00E4460E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781F07" w:rsidP="007B68B4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2. Основные статистические данные о проведенных</w:t>
      </w:r>
    </w:p>
    <w:p w:rsidR="00781F07" w:rsidRPr="00781F07" w:rsidRDefault="00781F07" w:rsidP="007B68B4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контрольных (надзорных) мероприятиях</w:t>
      </w:r>
    </w:p>
    <w:p w:rsidR="00781F07" w:rsidRPr="00781F07" w:rsidRDefault="00781F07" w:rsidP="00781F07">
      <w:pPr>
        <w:spacing w:after="0" w:line="240" w:lineRule="auto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781F07" w:rsidP="007B68B4">
      <w:pPr>
        <w:tabs>
          <w:tab w:val="left" w:pos="11339"/>
        </w:tabs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="007B68B4">
        <w:rPr>
          <w:rFonts w:ascii="Times New Roman" w:hAnsi="Times New Roman" w:cs="Times New Roman"/>
          <w:sz w:val="28"/>
          <w:szCs w:val="28"/>
        </w:rPr>
        <w:t xml:space="preserve">(надзорные) </w:t>
      </w:r>
      <w:r w:rsidRPr="00781F07">
        <w:rPr>
          <w:rFonts w:ascii="Times New Roman" w:hAnsi="Times New Roman" w:cs="Times New Roman"/>
          <w:sz w:val="28"/>
          <w:szCs w:val="28"/>
        </w:rPr>
        <w:t>мероприятия с взаимодействием с контролируемым лицом в 202</w:t>
      </w:r>
      <w:r w:rsidR="002504E1">
        <w:rPr>
          <w:rFonts w:ascii="Times New Roman" w:hAnsi="Times New Roman" w:cs="Times New Roman"/>
          <w:sz w:val="28"/>
          <w:szCs w:val="28"/>
        </w:rPr>
        <w:t>3</w:t>
      </w:r>
      <w:r w:rsidR="00943811">
        <w:rPr>
          <w:rFonts w:ascii="Times New Roman" w:hAnsi="Times New Roman" w:cs="Times New Roman"/>
          <w:sz w:val="28"/>
          <w:szCs w:val="28"/>
        </w:rPr>
        <w:t xml:space="preserve"> году Администрацией</w:t>
      </w:r>
      <w:r w:rsidRPr="00781F07">
        <w:rPr>
          <w:rFonts w:ascii="Times New Roman" w:hAnsi="Times New Roman" w:cs="Times New Roman"/>
          <w:sz w:val="28"/>
          <w:szCs w:val="28"/>
        </w:rPr>
        <w:t xml:space="preserve"> не проводились. В органы прокуратуры в соответствии с Приказом Генеральной прокуратуры Российской Федерации от 02</w:t>
      </w:r>
      <w:r w:rsidR="0052426F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781F07">
        <w:rPr>
          <w:rFonts w:ascii="Times New Roman" w:hAnsi="Times New Roman" w:cs="Times New Roman"/>
          <w:sz w:val="28"/>
          <w:szCs w:val="28"/>
        </w:rPr>
        <w:t>2021 № 294 «О реализации Федерального закона от 31</w:t>
      </w:r>
      <w:r w:rsidR="0052426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81F07">
        <w:rPr>
          <w:rFonts w:ascii="Times New Roman" w:hAnsi="Times New Roman" w:cs="Times New Roman"/>
          <w:sz w:val="28"/>
          <w:szCs w:val="28"/>
        </w:rPr>
        <w:t>2020 № 248-ФЗ «О государственном контроле (надзоре) и муниципальном контроле в Российской Федерации» решения о проведении мероприятий с взаимодействием с контролируемым лицом не направлялись.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 xml:space="preserve">Жалобы в рамках досудебного обжалования на решения </w:t>
      </w:r>
      <w:r w:rsidR="0052426F">
        <w:rPr>
          <w:rFonts w:ascii="Times New Roman" w:hAnsi="Times New Roman" w:cs="Times New Roman"/>
          <w:sz w:val="28"/>
          <w:szCs w:val="28"/>
        </w:rPr>
        <w:t>администрации</w:t>
      </w:r>
      <w:r w:rsidRPr="00781F07">
        <w:rPr>
          <w:rFonts w:ascii="Times New Roman" w:hAnsi="Times New Roman" w:cs="Times New Roman"/>
          <w:sz w:val="28"/>
          <w:szCs w:val="28"/>
        </w:rPr>
        <w:t xml:space="preserve">, действий (бездействия) </w:t>
      </w:r>
      <w:r w:rsidR="0052426F">
        <w:rPr>
          <w:rFonts w:ascii="Times New Roman" w:hAnsi="Times New Roman" w:cs="Times New Roman"/>
          <w:sz w:val="28"/>
          <w:szCs w:val="28"/>
        </w:rPr>
        <w:t>ее</w:t>
      </w:r>
      <w:r w:rsidRPr="00781F07">
        <w:rPr>
          <w:rFonts w:ascii="Times New Roman" w:hAnsi="Times New Roman" w:cs="Times New Roman"/>
          <w:sz w:val="28"/>
          <w:szCs w:val="28"/>
        </w:rPr>
        <w:t xml:space="preserve"> должностных лиц, не поступали.</w:t>
      </w:r>
    </w:p>
    <w:p w:rsidR="002E00DE" w:rsidRDefault="0052426F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2E00DE" w:rsidRPr="002E00DE">
        <w:rPr>
          <w:rFonts w:ascii="Times New Roman" w:hAnsi="Times New Roman" w:cs="Times New Roman"/>
          <w:sz w:val="28"/>
          <w:szCs w:val="28"/>
        </w:rPr>
        <w:t xml:space="preserve"> в 2023 году в части РГСН на основании заданий руководителя (заместителя руководителя) проведено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2E00DE" w:rsidRPr="002E00DE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2E00DE" w:rsidRPr="002E00DE">
        <w:rPr>
          <w:rFonts w:ascii="Times New Roman" w:hAnsi="Times New Roman" w:cs="Times New Roman"/>
          <w:sz w:val="28"/>
          <w:szCs w:val="28"/>
        </w:rPr>
        <w:lastRenderedPageBreak/>
        <w:t xml:space="preserve">(надзорных) мероприятия, осуществляемых без взаимодействия с контролируемым лицом. 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 xml:space="preserve">При осуществлении РГСН </w:t>
      </w:r>
      <w:r w:rsidR="0052426F">
        <w:rPr>
          <w:rFonts w:ascii="Times New Roman" w:hAnsi="Times New Roman" w:cs="Times New Roman"/>
          <w:sz w:val="28"/>
          <w:szCs w:val="28"/>
        </w:rPr>
        <w:t>администрацией</w:t>
      </w:r>
      <w:r w:rsidRPr="00781F07">
        <w:rPr>
          <w:rFonts w:ascii="Times New Roman" w:hAnsi="Times New Roman" w:cs="Times New Roman"/>
          <w:sz w:val="28"/>
          <w:szCs w:val="28"/>
        </w:rPr>
        <w:t xml:space="preserve"> проводятся следующие виды профилактических мероприятий: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Целями проведения профилактических мероприятий являются: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повышение открытости и прозрачности системы РГСН;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предупреждение нарушений контролируемыми лицами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мотивация к добросовестному поведению и, как следствие, снижение уровня вреда (ущерба) охраняемым законом ценностям;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разъяснение контролируемым лицам требований законодательства.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Задачами реализации профилактических мероприятий являются: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формирование у контролируемых лиц единого понимания требований законодательства;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создание и внедрение мер позитивной профилактики, повешение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781F07" w:rsidRPr="00781F07" w:rsidRDefault="007B68B4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При осуществлении РГСН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D5399" w:rsidRPr="00781F07" w:rsidRDefault="00943811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9D5399" w:rsidRPr="005C6D7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ст. 46 Федерального закона № 248-ФЗ осуществляет информирование контролируемых лиц и иных заинтересованных лиц по вопросам соблюдения обязательных требований РГСН. Обязательная информация размещается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9D5399" w:rsidRPr="005C6D7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город</w:t>
      </w:r>
      <w:r w:rsidR="005C6D77" w:rsidRPr="005C6D77">
        <w:rPr>
          <w:rFonts w:ascii="Times New Roman" w:hAnsi="Times New Roman" w:cs="Times New Roman"/>
          <w:sz w:val="28"/>
          <w:szCs w:val="28"/>
        </w:rPr>
        <w:t>-курорт Геленджик</w:t>
      </w:r>
      <w:r w:rsidR="009D5399" w:rsidRPr="005C6D77">
        <w:rPr>
          <w:rFonts w:ascii="Times New Roman" w:hAnsi="Times New Roman" w:cs="Times New Roman"/>
          <w:sz w:val="28"/>
          <w:szCs w:val="28"/>
        </w:rPr>
        <w:t xml:space="preserve"> (</w:t>
      </w:r>
      <w:r w:rsidR="005C6D77" w:rsidRPr="005C6D77">
        <w:rPr>
          <w:rFonts w:ascii="Times New Roman" w:hAnsi="Times New Roman" w:cs="Times New Roman"/>
          <w:sz w:val="28"/>
          <w:szCs w:val="28"/>
        </w:rPr>
        <w:t>https://admgel.</w:t>
      </w:r>
      <w:r w:rsidR="005C6D77">
        <w:rPr>
          <w:rFonts w:ascii="Times New Roman" w:hAnsi="Times New Roman" w:cs="Times New Roman"/>
          <w:sz w:val="28"/>
          <w:szCs w:val="28"/>
        </w:rPr>
        <w:t>ru</w:t>
      </w:r>
      <w:r w:rsidR="009D5399" w:rsidRPr="005C6D77">
        <w:rPr>
          <w:rFonts w:ascii="Times New Roman" w:hAnsi="Times New Roman" w:cs="Times New Roman"/>
          <w:sz w:val="28"/>
          <w:szCs w:val="28"/>
        </w:rPr>
        <w:t>/).</w:t>
      </w:r>
      <w:r w:rsidR="009D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Ключевыми рисками причинения вреда (ущерба) охраняемым законом ценностям является различное толкование 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 обеспечивается за счёт информирования контролируемых лиц о требованиях законодательства.</w:t>
      </w:r>
    </w:p>
    <w:p w:rsidR="00781F07" w:rsidRPr="00781F07" w:rsidRDefault="00781F07" w:rsidP="007B68B4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Консультирование осуществляется по обращениям контролируемых лиц и их представителей (даются разъяснения по вопросам, связанным с организацией и осуществлением РГСН):</w:t>
      </w:r>
    </w:p>
    <w:p w:rsidR="0045583D" w:rsidRDefault="0045583D" w:rsidP="0045583D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соблюдении обязательных требования РГСН; </w:t>
      </w:r>
    </w:p>
    <w:p w:rsidR="00781F07" w:rsidRPr="00781F07" w:rsidRDefault="0045583D" w:rsidP="0045583D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об организации и осуществлении РГСН;</w:t>
      </w:r>
    </w:p>
    <w:p w:rsidR="00781F07" w:rsidRPr="00781F07" w:rsidRDefault="0045583D" w:rsidP="0045583D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 xml:space="preserve">о порядке осуществления </w:t>
      </w:r>
      <w:r w:rsidR="0052426F">
        <w:rPr>
          <w:rFonts w:ascii="Times New Roman" w:hAnsi="Times New Roman" w:cs="Times New Roman"/>
          <w:sz w:val="28"/>
          <w:szCs w:val="28"/>
        </w:rPr>
        <w:t>администрацией</w:t>
      </w:r>
      <w:r w:rsidR="00781F07" w:rsidRPr="00781F07">
        <w:rPr>
          <w:rFonts w:ascii="Times New Roman" w:hAnsi="Times New Roman" w:cs="Times New Roman"/>
          <w:sz w:val="28"/>
          <w:szCs w:val="28"/>
        </w:rPr>
        <w:t xml:space="preserve"> профилактических и контрольных мероприятий, установленных Положением;</w:t>
      </w:r>
    </w:p>
    <w:p w:rsidR="00781F07" w:rsidRPr="00781F07" w:rsidRDefault="0045583D" w:rsidP="0045583D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 xml:space="preserve">о порядке обжалования контролируемым лицом решений </w:t>
      </w:r>
      <w:r w:rsidR="0052426F">
        <w:rPr>
          <w:rFonts w:ascii="Times New Roman" w:hAnsi="Times New Roman" w:cs="Times New Roman"/>
          <w:sz w:val="28"/>
          <w:szCs w:val="28"/>
        </w:rPr>
        <w:t>администрации</w:t>
      </w:r>
      <w:r w:rsidR="00781F07" w:rsidRPr="00781F07">
        <w:rPr>
          <w:rFonts w:ascii="Times New Roman" w:hAnsi="Times New Roman" w:cs="Times New Roman"/>
          <w:sz w:val="28"/>
          <w:szCs w:val="28"/>
        </w:rPr>
        <w:t xml:space="preserve">, действий (бездействия) </w:t>
      </w:r>
      <w:r w:rsidR="0052426F">
        <w:rPr>
          <w:rFonts w:ascii="Times New Roman" w:hAnsi="Times New Roman" w:cs="Times New Roman"/>
          <w:sz w:val="28"/>
          <w:szCs w:val="28"/>
        </w:rPr>
        <w:t>ее</w:t>
      </w:r>
      <w:r w:rsidR="00781F07" w:rsidRPr="00781F07">
        <w:rPr>
          <w:rFonts w:ascii="Times New Roman" w:hAnsi="Times New Roman" w:cs="Times New Roman"/>
          <w:sz w:val="28"/>
          <w:szCs w:val="28"/>
        </w:rPr>
        <w:t xml:space="preserve"> должностных лиц;</w:t>
      </w:r>
    </w:p>
    <w:p w:rsidR="00781F07" w:rsidRPr="00781F07" w:rsidRDefault="0045583D" w:rsidP="0045583D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F07" w:rsidRPr="00781F07">
        <w:rPr>
          <w:rFonts w:ascii="Times New Roman" w:hAnsi="Times New Roman" w:cs="Times New Roman"/>
          <w:sz w:val="28"/>
          <w:szCs w:val="28"/>
        </w:rPr>
        <w:t>об иных вопросах, касающихся осуществления РГСН.</w:t>
      </w:r>
    </w:p>
    <w:p w:rsidR="00781F07" w:rsidRPr="005F1750" w:rsidRDefault="0045583D" w:rsidP="0045583D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F1750">
        <w:rPr>
          <w:rFonts w:ascii="Times New Roman" w:hAnsi="Times New Roman" w:cs="Times New Roman"/>
          <w:sz w:val="28"/>
          <w:szCs w:val="28"/>
        </w:rPr>
        <w:t>Д</w:t>
      </w:r>
      <w:r w:rsidR="0052426F">
        <w:rPr>
          <w:rFonts w:ascii="Times New Roman" w:hAnsi="Times New Roman" w:cs="Times New Roman"/>
          <w:sz w:val="28"/>
          <w:szCs w:val="28"/>
        </w:rPr>
        <w:t>олжностным лицом</w:t>
      </w:r>
      <w:r w:rsidR="00781F07" w:rsidRPr="005F1750">
        <w:rPr>
          <w:rFonts w:ascii="Times New Roman" w:hAnsi="Times New Roman" w:cs="Times New Roman"/>
          <w:sz w:val="28"/>
          <w:szCs w:val="28"/>
        </w:rPr>
        <w:t xml:space="preserve"> контрольного органа по обращениям контролируемых лиц и</w:t>
      </w:r>
      <w:r w:rsidR="00567D4E" w:rsidRPr="005F1750">
        <w:rPr>
          <w:rFonts w:ascii="Times New Roman" w:hAnsi="Times New Roman" w:cs="Times New Roman"/>
          <w:sz w:val="28"/>
          <w:szCs w:val="28"/>
        </w:rPr>
        <w:t xml:space="preserve"> их представителей осуществлено </w:t>
      </w:r>
      <w:r w:rsidR="006559D0" w:rsidRPr="005F1750">
        <w:rPr>
          <w:rFonts w:ascii="Times New Roman" w:hAnsi="Times New Roman" w:cs="Times New Roman"/>
          <w:sz w:val="28"/>
          <w:szCs w:val="28"/>
        </w:rPr>
        <w:t>1</w:t>
      </w:r>
      <w:r w:rsidR="00567D4E" w:rsidRPr="005F1750">
        <w:rPr>
          <w:rFonts w:ascii="Times New Roman" w:hAnsi="Times New Roman" w:cs="Times New Roman"/>
          <w:sz w:val="28"/>
          <w:szCs w:val="28"/>
        </w:rPr>
        <w:t>48</w:t>
      </w:r>
      <w:r w:rsidR="00781F07" w:rsidRPr="005F1750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мероприятия в виде консультирований.</w:t>
      </w:r>
    </w:p>
    <w:p w:rsidR="00781F07" w:rsidRPr="00984B7B" w:rsidRDefault="00781F07" w:rsidP="00781F07">
      <w:pPr>
        <w:spacing w:after="0" w:line="240" w:lineRule="auto"/>
        <w:ind w:left="1985" w:righ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1F07" w:rsidRPr="005F1750" w:rsidRDefault="00781F07" w:rsidP="0045583D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  <w:r w:rsidRPr="005F1750">
        <w:rPr>
          <w:rFonts w:ascii="Times New Roman" w:hAnsi="Times New Roman" w:cs="Times New Roman"/>
          <w:sz w:val="28"/>
          <w:szCs w:val="28"/>
        </w:rPr>
        <w:t xml:space="preserve">Отчет о работе </w:t>
      </w:r>
      <w:r w:rsidR="00943811">
        <w:rPr>
          <w:rFonts w:ascii="Times New Roman" w:hAnsi="Times New Roman" w:cs="Times New Roman"/>
          <w:sz w:val="28"/>
          <w:szCs w:val="28"/>
        </w:rPr>
        <w:t>Администрации</w:t>
      </w:r>
      <w:r w:rsidRPr="005F1750">
        <w:rPr>
          <w:rFonts w:ascii="Times New Roman" w:hAnsi="Times New Roman" w:cs="Times New Roman"/>
          <w:sz w:val="28"/>
          <w:szCs w:val="28"/>
        </w:rPr>
        <w:t xml:space="preserve"> за 202</w:t>
      </w:r>
      <w:r w:rsidR="006559D0" w:rsidRPr="005F1750">
        <w:rPr>
          <w:rFonts w:ascii="Times New Roman" w:hAnsi="Times New Roman" w:cs="Times New Roman"/>
          <w:sz w:val="28"/>
          <w:szCs w:val="28"/>
        </w:rPr>
        <w:t>3</w:t>
      </w:r>
      <w:r w:rsidRPr="005F1750">
        <w:rPr>
          <w:rFonts w:ascii="Times New Roman" w:hAnsi="Times New Roman" w:cs="Times New Roman"/>
          <w:sz w:val="28"/>
          <w:szCs w:val="28"/>
        </w:rPr>
        <w:t xml:space="preserve"> год при осуществлении РГСН в отношении юридических, физических лиц и индивидуальных предпринимателей</w:t>
      </w:r>
    </w:p>
    <w:p w:rsidR="00781F07" w:rsidRPr="00984B7B" w:rsidRDefault="00781F07" w:rsidP="00781F07">
      <w:pPr>
        <w:spacing w:after="0" w:line="240" w:lineRule="auto"/>
        <w:ind w:left="1985" w:righ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214" w:type="dxa"/>
        <w:tblInd w:w="1980" w:type="dxa"/>
        <w:tblLayout w:type="fixed"/>
        <w:tblLook w:val="04A0" w:firstRow="1" w:lastRow="0" w:firstColumn="1" w:lastColumn="0" w:noHBand="0" w:noVBand="1"/>
      </w:tblPr>
      <w:tblGrid>
        <w:gridCol w:w="1134"/>
        <w:gridCol w:w="5953"/>
        <w:gridCol w:w="2127"/>
      </w:tblGrid>
      <w:tr w:rsidR="006559D0" w:rsidRPr="00984B7B" w:rsidTr="006559D0">
        <w:trPr>
          <w:trHeight w:val="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D0" w:rsidRPr="005C6D77" w:rsidRDefault="006559D0" w:rsidP="006559D0">
            <w:pPr>
              <w:spacing w:after="0" w:line="240" w:lineRule="auto"/>
              <w:ind w:left="34"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C6D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C6D7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D0" w:rsidRPr="005C6D77" w:rsidRDefault="006559D0" w:rsidP="006559D0">
            <w:pPr>
              <w:spacing w:after="0" w:line="240" w:lineRule="auto"/>
              <w:ind w:left="34"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отчетных показателей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D0" w:rsidRPr="005C6D77" w:rsidRDefault="006559D0" w:rsidP="006559D0">
            <w:pPr>
              <w:spacing w:after="0" w:line="240" w:lineRule="auto"/>
              <w:ind w:left="34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6559D0" w:rsidRPr="00984B7B" w:rsidTr="006559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9D0" w:rsidRPr="005C6D77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9D0" w:rsidRPr="005C6D77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контрольных (надзорных) мероприятий, </w:t>
            </w: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D0" w:rsidRPr="005C6D77" w:rsidRDefault="00A42A4D" w:rsidP="006559D0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559D0" w:rsidRPr="00984B7B" w:rsidTr="006559D0">
        <w:trPr>
          <w:trHeight w:val="25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9D0" w:rsidRPr="005C6D77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D0" w:rsidRPr="005C6D77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Инспекционный визит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D0" w:rsidRPr="005C6D77" w:rsidRDefault="006559D0" w:rsidP="006559D0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59D0" w:rsidRPr="00984B7B" w:rsidTr="006559D0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9D0" w:rsidRPr="005C6D77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D0" w:rsidRPr="005C6D77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по результатам которых выявлены нарушения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D0" w:rsidRPr="005C6D77" w:rsidRDefault="006559D0" w:rsidP="006559D0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59D0" w:rsidRPr="00984B7B" w:rsidTr="006559D0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D0" w:rsidRPr="005C6D77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D0" w:rsidRPr="005C6D77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D0" w:rsidRPr="005C6D77" w:rsidRDefault="006559D0" w:rsidP="006559D0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59D0" w:rsidRPr="00984B7B" w:rsidTr="006559D0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D0" w:rsidRPr="005C6D77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D0" w:rsidRPr="005C6D77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по результатам которых выявлены нарушения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D0" w:rsidRPr="005C6D77" w:rsidRDefault="006559D0" w:rsidP="006559D0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59D0" w:rsidRPr="00984B7B" w:rsidTr="006559D0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D0" w:rsidRPr="005C6D77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D0" w:rsidRPr="005C6D77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за соблюдением обязательных требований (мониторинг безопасности)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D0" w:rsidRPr="005C6D77" w:rsidRDefault="00A42A4D" w:rsidP="006559D0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559D0" w:rsidRPr="00984B7B" w:rsidTr="006559D0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D0" w:rsidRPr="005C6D77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D0" w:rsidRPr="005C6D77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bCs/>
                <w:sz w:val="28"/>
                <w:szCs w:val="28"/>
              </w:rPr>
              <w:t>Выездное обследование</w:t>
            </w: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D0" w:rsidRPr="005C6D77" w:rsidRDefault="00A42A4D" w:rsidP="006559D0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559D0" w:rsidRPr="00984B7B" w:rsidTr="006559D0">
        <w:trPr>
          <w:trHeight w:val="43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9D0" w:rsidRPr="005C6D77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9D0" w:rsidRPr="005C6D77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по результатам которых выявлены нарушения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59D0" w:rsidRPr="005C6D77" w:rsidRDefault="00A42A4D" w:rsidP="00A42A4D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559D0" w:rsidRPr="00984B7B" w:rsidTr="006559D0">
        <w:trPr>
          <w:trHeight w:val="2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D0" w:rsidRPr="005C6D77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9D0" w:rsidRPr="005C6D77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Направлено уведомлении о выявлении самовольной постройки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D0" w:rsidRPr="005C6D77" w:rsidRDefault="00A42A4D" w:rsidP="006559D0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559D0" w:rsidRPr="00984B7B" w:rsidTr="006559D0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D0" w:rsidRPr="005C6D77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9D0" w:rsidRPr="005C6D77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В порядке ст. 55.32. Градостроительного кодекса РФ подано исковых заявлений в суд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D0" w:rsidRPr="005C6D77" w:rsidRDefault="005F1750" w:rsidP="0052426F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2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426F" w:rsidRPr="005242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59D0" w:rsidRPr="00984B7B" w:rsidTr="006559D0">
        <w:trPr>
          <w:trHeight w:val="40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6559D0" w:rsidRPr="005C6D77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D0" w:rsidRPr="005C6D77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Проведено профилактических мероприятий, из них: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D0" w:rsidRPr="005C6D77" w:rsidRDefault="00EE4D3C" w:rsidP="00A42A4D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2A4D" w:rsidRPr="005C6D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59D0" w:rsidRPr="00984B7B" w:rsidTr="006559D0">
        <w:trPr>
          <w:trHeight w:val="280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559D0" w:rsidRPr="005C6D77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D0" w:rsidRPr="005C6D77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D0" w:rsidRPr="005C6D77" w:rsidRDefault="00A42A4D" w:rsidP="006559D0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6559D0" w:rsidRPr="00984B7B" w:rsidTr="006559D0">
        <w:trPr>
          <w:trHeight w:val="250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559D0" w:rsidRPr="005C6D77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9D0" w:rsidRPr="005C6D77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D0" w:rsidRPr="005C6D77" w:rsidRDefault="0052426F" w:rsidP="006559D0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59D0" w:rsidRPr="00984B7B" w:rsidTr="006559D0">
        <w:trPr>
          <w:trHeight w:val="26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9D0" w:rsidRPr="005C6D77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6559D0" w:rsidRPr="005C6D77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D0" w:rsidRPr="005C6D77" w:rsidRDefault="006559D0" w:rsidP="006559D0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59D0" w:rsidRPr="00984B7B" w:rsidTr="006559D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59D0" w:rsidRPr="005C6D77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D0" w:rsidRPr="005C6D77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Рассмотрено жалоб, обращений, запросов,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D0" w:rsidRPr="005C6D77" w:rsidRDefault="005F1750" w:rsidP="006559D0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559D0" w:rsidRPr="00984B7B" w:rsidTr="006559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9D0" w:rsidRPr="005C6D77" w:rsidRDefault="006559D0" w:rsidP="006559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D0" w:rsidRPr="005C6D77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- органов прокуратуры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D0" w:rsidRPr="005C6D77" w:rsidRDefault="005F1750" w:rsidP="006559D0">
            <w:pPr>
              <w:tabs>
                <w:tab w:val="left" w:pos="1845"/>
                <w:tab w:val="left" w:pos="2697"/>
              </w:tabs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59D0" w:rsidRPr="00984B7B" w:rsidTr="006559D0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9D0" w:rsidRPr="005C6D77" w:rsidRDefault="006559D0" w:rsidP="006559D0">
            <w:pPr>
              <w:spacing w:after="0" w:line="240" w:lineRule="auto"/>
              <w:ind w:left="1985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D0" w:rsidRPr="005C6D77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- органов власти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D0" w:rsidRPr="005C6D77" w:rsidRDefault="005F1750" w:rsidP="006559D0">
            <w:pPr>
              <w:tabs>
                <w:tab w:val="left" w:pos="1845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559D0" w:rsidRPr="00984B7B" w:rsidTr="006559D0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9D0" w:rsidRPr="005C6D77" w:rsidRDefault="006559D0" w:rsidP="006559D0">
            <w:pPr>
              <w:spacing w:after="0" w:line="240" w:lineRule="auto"/>
              <w:ind w:left="1985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D0" w:rsidRPr="005C6D77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-юридических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D0" w:rsidRPr="005C6D77" w:rsidRDefault="005F1750" w:rsidP="006559D0">
            <w:pPr>
              <w:tabs>
                <w:tab w:val="left" w:pos="1845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59D0" w:rsidRPr="006559D0" w:rsidTr="006559D0">
        <w:trPr>
          <w:trHeight w:val="31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9D0" w:rsidRPr="005C6D77" w:rsidRDefault="006559D0" w:rsidP="006559D0">
            <w:pPr>
              <w:spacing w:after="0" w:line="240" w:lineRule="auto"/>
              <w:ind w:left="1985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D0" w:rsidRPr="005C6D77" w:rsidRDefault="006559D0" w:rsidP="006559D0">
            <w:pPr>
              <w:spacing w:after="0" w:line="240" w:lineRule="auto"/>
              <w:ind w:left="34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-физических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D0" w:rsidRPr="005C6D77" w:rsidRDefault="005F1750" w:rsidP="006559D0">
            <w:pPr>
              <w:tabs>
                <w:tab w:val="left" w:pos="1845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559D0" w:rsidRDefault="006559D0" w:rsidP="00781F07">
      <w:pPr>
        <w:spacing w:after="0" w:line="240" w:lineRule="auto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781F07" w:rsidP="009D5399">
      <w:pPr>
        <w:spacing w:after="0" w:line="240" w:lineRule="auto"/>
        <w:ind w:left="1985" w:right="567"/>
        <w:jc w:val="center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 xml:space="preserve">3. </w:t>
      </w:r>
      <w:r w:rsidRPr="002E511F">
        <w:rPr>
          <w:rFonts w:ascii="Times New Roman" w:hAnsi="Times New Roman" w:cs="Times New Roman"/>
          <w:sz w:val="28"/>
          <w:szCs w:val="28"/>
        </w:rPr>
        <w:t>Выявление типичных нарушений обязательных требований и причин, способствующих</w:t>
      </w:r>
      <w:r w:rsidRPr="00781F07">
        <w:rPr>
          <w:rFonts w:ascii="Times New Roman" w:hAnsi="Times New Roman" w:cs="Times New Roman"/>
          <w:sz w:val="28"/>
          <w:szCs w:val="28"/>
        </w:rPr>
        <w:t xml:space="preserve"> возникновению нарушений обязательных требований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Лица, виновные в нарушении законодательства в области строительства, несут ответственность в соответствии с законодательством Российской Федерации.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Наиболее распространенным видом юридической ответственности в поднадзорной сфере является административная ответственность, установленная нормами Кодекса Российской Федерации об административных правонарушениях (далее - КоАП РФ) и направленная на пресечение нарушений законодательства Российской Федерации, а также предупреждение совершения новых правонарушений как самим нарушителем, так и иными лицами.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Строительство или реконструкция объектов капитального строительства без разрешения на строительство в случае, если для его осуществления, законом предусмотрено получение разрешения на строительство является правонарушением части 1 статьи 9.5 КоАП РФ.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Строительство, реконструкция объектов капитального строительства осуществляются на основании разрешения, за исключением случаев, предусмотренных ст. 51 Градостроительного кодекса РФ.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Практика показала, что зачастую застройщик для ускорения процесса строительства объектов начинает его без разрешения на данное строительство, либо осуществляет строительство объекта, параметры которого не соответствуют полученному разрешению, за что частью 1 статьи 9.5 КоАП РФ предусмотрена административная ответственность.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lastRenderedPageBreak/>
        <w:t>Также, в соответствие с п. 2 ст. 55.32. Градостроительного кодекса РФ, при поступлении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РФ, принимается решение о сносе самовольной постройки, либо решение о сносе самовольной постройки или её приведении в соответствие с установленными требованиями.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 xml:space="preserve">Факт осуществления строительства без соответствующего разрешения может быть выявлен непосредственно </w:t>
      </w:r>
      <w:r w:rsidR="0052426F">
        <w:rPr>
          <w:rFonts w:ascii="Times New Roman" w:hAnsi="Times New Roman" w:cs="Times New Roman"/>
          <w:sz w:val="28"/>
          <w:szCs w:val="28"/>
        </w:rPr>
        <w:t>администрацией</w:t>
      </w:r>
      <w:r w:rsidRPr="00781F07">
        <w:rPr>
          <w:rFonts w:ascii="Times New Roman" w:hAnsi="Times New Roman" w:cs="Times New Roman"/>
          <w:sz w:val="28"/>
          <w:szCs w:val="28"/>
        </w:rPr>
        <w:t xml:space="preserve">, или зафиксирован в поступающих в </w:t>
      </w:r>
      <w:r w:rsidR="00943811">
        <w:rPr>
          <w:rFonts w:ascii="Times New Roman" w:hAnsi="Times New Roman" w:cs="Times New Roman"/>
          <w:sz w:val="28"/>
          <w:szCs w:val="28"/>
        </w:rPr>
        <w:t>Администрацию</w:t>
      </w:r>
      <w:r w:rsidRPr="00781F07">
        <w:rPr>
          <w:rFonts w:ascii="Times New Roman" w:hAnsi="Times New Roman" w:cs="Times New Roman"/>
          <w:sz w:val="28"/>
          <w:szCs w:val="28"/>
        </w:rPr>
        <w:t xml:space="preserve"> материалах надзорных мероприятий, проводимых департаментом по надзору в строительной сфере по Краснодарскому краю, либо иных органов.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В дополнение следует сказать, что производство строительных работ по истечении срока действия разрешения на строительство также влечет административную ответственность по части 1 статьи 9.5 КоАП РФ.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Необходимо отметить, что частью 17 статьи 51 Градостроительного кодекса РФ определены случаи, когда выдача разрешения на строительство не требуется.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В свою очередь гражданами при строительстве жилых домов и объектов вспомогательного использования (их реконструкции) нарушаются предельные параметры разрешенного строительства (отступы от границы смежных земельных участков и территории общего пользования, этажность, площадь застройки), установленных Правилами землепользования и застройки на территории муниципального образования город</w:t>
      </w:r>
      <w:r w:rsidR="0052426F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781F07">
        <w:rPr>
          <w:rFonts w:ascii="Times New Roman" w:hAnsi="Times New Roman" w:cs="Times New Roman"/>
          <w:sz w:val="28"/>
          <w:szCs w:val="28"/>
        </w:rPr>
        <w:t>.</w:t>
      </w:r>
    </w:p>
    <w:p w:rsidR="00781F07" w:rsidRPr="00781F07" w:rsidRDefault="00781F07" w:rsidP="009D5399">
      <w:pPr>
        <w:spacing w:after="0" w:line="240" w:lineRule="auto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81F07">
        <w:rPr>
          <w:rFonts w:ascii="Times New Roman" w:hAnsi="Times New Roman" w:cs="Times New Roman"/>
          <w:sz w:val="28"/>
          <w:szCs w:val="28"/>
        </w:rPr>
        <w:t>Данные факторы также несут за собой судебные разбирательства.</w:t>
      </w:r>
      <w:bookmarkStart w:id="0" w:name="_GoBack"/>
      <w:bookmarkEnd w:id="0"/>
    </w:p>
    <w:sectPr w:rsidR="00781F07" w:rsidRPr="00781F07" w:rsidSect="00781F07">
      <w:pgSz w:w="11906" w:h="16838" w:code="9"/>
      <w:pgMar w:top="1134" w:right="0" w:bottom="992" w:left="0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95"/>
    <w:rsid w:val="000511EE"/>
    <w:rsid w:val="000F0EB0"/>
    <w:rsid w:val="001109AF"/>
    <w:rsid w:val="00150D7A"/>
    <w:rsid w:val="001553EA"/>
    <w:rsid w:val="002504E1"/>
    <w:rsid w:val="002E00DE"/>
    <w:rsid w:val="002E511F"/>
    <w:rsid w:val="00305D82"/>
    <w:rsid w:val="0045583D"/>
    <w:rsid w:val="004D743F"/>
    <w:rsid w:val="00502F46"/>
    <w:rsid w:val="0052426F"/>
    <w:rsid w:val="005243A5"/>
    <w:rsid w:val="00567D4E"/>
    <w:rsid w:val="00580FC6"/>
    <w:rsid w:val="005C6D77"/>
    <w:rsid w:val="005F1750"/>
    <w:rsid w:val="006007A0"/>
    <w:rsid w:val="006559D0"/>
    <w:rsid w:val="006A6A35"/>
    <w:rsid w:val="006B2B61"/>
    <w:rsid w:val="00747CF7"/>
    <w:rsid w:val="007647AA"/>
    <w:rsid w:val="00781F07"/>
    <w:rsid w:val="007B68B4"/>
    <w:rsid w:val="007D005C"/>
    <w:rsid w:val="0091406A"/>
    <w:rsid w:val="00930869"/>
    <w:rsid w:val="00943811"/>
    <w:rsid w:val="00975EFA"/>
    <w:rsid w:val="00984B7B"/>
    <w:rsid w:val="009A45A9"/>
    <w:rsid w:val="009A5595"/>
    <w:rsid w:val="009D5399"/>
    <w:rsid w:val="009F586F"/>
    <w:rsid w:val="00A42A4D"/>
    <w:rsid w:val="00A72FBC"/>
    <w:rsid w:val="00AF0089"/>
    <w:rsid w:val="00B8136C"/>
    <w:rsid w:val="00C76DD4"/>
    <w:rsid w:val="00D31983"/>
    <w:rsid w:val="00E0502D"/>
    <w:rsid w:val="00E4460E"/>
    <w:rsid w:val="00EB26F5"/>
    <w:rsid w:val="00E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7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7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Колтунов Дмитрий Витальевич</cp:lastModifiedBy>
  <cp:revision>30</cp:revision>
  <cp:lastPrinted>2024-02-28T11:28:00Z</cp:lastPrinted>
  <dcterms:created xsi:type="dcterms:W3CDTF">2023-03-17T06:09:00Z</dcterms:created>
  <dcterms:modified xsi:type="dcterms:W3CDTF">2024-03-05T11:17:00Z</dcterms:modified>
</cp:coreProperties>
</file>